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r>
        <w:rPr>
          <w:rFonts w:hint="eastAsia" w:ascii="方正小标宋_GBK" w:hAnsi="宋体" w:eastAsia="方正小标宋_GBK"/>
          <w:sz w:val="44"/>
          <w:szCs w:val="44"/>
        </w:rPr>
        <w:t>新疆维吾尔自治区商务厅机关服务中心2022年度部门决算</w:t>
      </w:r>
    </w:p>
    <w:p>
      <w:pPr>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pPr>
        <w:pStyle w:val="7"/>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pPr>
        <w:pStyle w:val="7"/>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pPr>
        <w:pStyle w:val="7"/>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pPr>
        <w:pStyle w:val="7"/>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r>
        <w:rPr>
          <w:rFonts w:hint="eastAsia" w:ascii="仿宋_GB2312" w:hAnsi="仿宋_GB2312" w:eastAsia="仿宋_GB2312" w:cs="仿宋_GB2312"/>
          <w:sz w:val="32"/>
          <w:szCs w:val="32"/>
        </w:rPr>
        <w:fldChar w:fldCharType="end"/>
      </w:r>
    </w:p>
    <w:p>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32314"/>
      <w:bookmarkStart w:id="1" w:name="_Toc24028"/>
      <w:r>
        <w:rPr>
          <w:rFonts w:hint="eastAsia" w:ascii="黑体" w:hAnsi="黑体" w:eastAsia="黑体"/>
          <w:sz w:val="32"/>
          <w:szCs w:val="32"/>
        </w:rPr>
        <w:t>第一部分 单位概况</w:t>
      </w:r>
      <w:bookmarkEnd w:id="0"/>
      <w:bookmarkEnd w:id="1"/>
    </w:p>
    <w:p>
      <w:pPr>
        <w:ind w:firstLine="640" w:firstLineChars="200"/>
        <w:outlineLvl w:val="1"/>
        <w:rPr>
          <w:rFonts w:ascii="黑体" w:hAnsi="黑体" w:eastAsia="黑体" w:cs="宋体"/>
          <w:bCs/>
          <w:kern w:val="0"/>
          <w:sz w:val="32"/>
          <w:szCs w:val="32"/>
        </w:rPr>
      </w:pPr>
      <w:bookmarkStart w:id="2" w:name="_Toc30738"/>
      <w:bookmarkStart w:id="3" w:name="_Toc30567"/>
      <w:r>
        <w:rPr>
          <w:rFonts w:hint="eastAsia" w:ascii="黑体" w:hAnsi="黑体" w:eastAsia="黑体" w:cs="宋体"/>
          <w:bCs/>
          <w:kern w:val="0"/>
          <w:sz w:val="32"/>
          <w:szCs w:val="32"/>
        </w:rPr>
        <w:t>一、主要职能</w:t>
      </w:r>
      <w:bookmarkEnd w:id="2"/>
      <w:bookmarkEnd w:id="3"/>
    </w:p>
    <w:p>
      <w:pPr>
        <w:rPr>
          <w:rFonts w:ascii="黑体" w:hAnsi="黑体" w:eastAsia="黑体" w:cs="宋体"/>
          <w:bCs/>
          <w:kern w:val="0"/>
          <w:sz w:val="32"/>
          <w:szCs w:val="32"/>
        </w:rPr>
      </w:pPr>
      <w:bookmarkStart w:id="4" w:name="_Toc31238"/>
      <w:bookmarkStart w:id="5" w:name="_Toc2151"/>
      <w:r>
        <w:rPr>
          <w:rFonts w:ascii="仿宋_GB2312" w:eastAsia="仿宋_GB2312"/>
          <w:sz w:val="32"/>
          <w:szCs w:val="32"/>
        </w:rPr>
        <w:t>　　</w:t>
      </w:r>
      <w:r>
        <w:rPr>
          <w:rFonts w:hint="eastAsia" w:ascii="仿宋_GB2312" w:eastAsia="仿宋_GB2312"/>
          <w:sz w:val="32"/>
          <w:szCs w:val="32"/>
        </w:rPr>
        <w:t>主要负责</w:t>
      </w:r>
      <w:r>
        <w:rPr>
          <w:rFonts w:ascii="仿宋_GB2312" w:eastAsia="仿宋_GB2312"/>
          <w:sz w:val="32"/>
          <w:szCs w:val="32"/>
        </w:rPr>
        <w:t>机关办公服务、机关后勤生活服务、水电暖维护修理服务、医疗卫生服务、幼儿保教保育服务、接待、车辆</w:t>
      </w:r>
      <w:r>
        <w:rPr>
          <w:rFonts w:hint="eastAsia" w:ascii="仿宋_GB2312" w:eastAsia="仿宋_GB2312"/>
          <w:sz w:val="32"/>
          <w:szCs w:val="32"/>
        </w:rPr>
        <w:t>保障</w:t>
      </w:r>
      <w:r>
        <w:rPr>
          <w:rFonts w:ascii="仿宋_GB2312" w:eastAsia="仿宋_GB2312"/>
          <w:sz w:val="32"/>
          <w:szCs w:val="32"/>
        </w:rPr>
        <w:t>、会展服务（相关社会服务）、办公楼管理、承办机关委托事项及相关社会服务</w:t>
      </w:r>
      <w:r>
        <w:rPr>
          <w:rFonts w:hint="eastAsia" w:ascii="仿宋_GB2312" w:eastAsia="仿宋_GB2312"/>
          <w:sz w:val="32"/>
          <w:szCs w:val="32"/>
        </w:rPr>
        <w:t>。</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pPr>
        <w:ind w:firstLine="640" w:firstLineChars="200"/>
        <w:rPr>
          <w:rFonts w:ascii="仿宋_GB2312" w:eastAsia="仿宋_GB2312"/>
          <w:sz w:val="32"/>
          <w:szCs w:val="32"/>
        </w:rPr>
      </w:pPr>
      <w:r>
        <w:rPr>
          <w:rFonts w:hint="eastAsia" w:ascii="仿宋_GB2312" w:eastAsia="仿宋_GB2312"/>
          <w:sz w:val="32"/>
          <w:szCs w:val="32"/>
        </w:rPr>
        <w:t>新疆维吾尔自治区商务厅机关服务中心</w:t>
      </w:r>
      <w:r>
        <w:rPr>
          <w:rFonts w:ascii="仿宋_GB2312" w:eastAsia="仿宋_GB2312"/>
          <w:sz w:val="32"/>
          <w:szCs w:val="32"/>
        </w:rPr>
        <w:t>2022</w:t>
      </w:r>
      <w:r>
        <w:rPr>
          <w:rFonts w:hint="eastAsia" w:ascii="仿宋_GB2312" w:eastAsia="仿宋_GB2312"/>
          <w:sz w:val="32"/>
          <w:szCs w:val="32"/>
        </w:rPr>
        <w:t>年度，实有人数</w:t>
      </w:r>
      <w:r>
        <w:rPr>
          <w:rFonts w:ascii="仿宋_GB2312" w:eastAsia="仿宋_GB2312"/>
          <w:sz w:val="32"/>
          <w:szCs w:val="32"/>
        </w:rPr>
        <w:t>171</w:t>
      </w:r>
      <w:r>
        <w:rPr>
          <w:rFonts w:hint="eastAsia" w:ascii="仿宋_GB2312" w:eastAsia="仿宋_GB2312"/>
          <w:sz w:val="32"/>
          <w:szCs w:val="32"/>
        </w:rPr>
        <w:t>人，其中：在职人员</w:t>
      </w:r>
      <w:r>
        <w:rPr>
          <w:rFonts w:ascii="仿宋_GB2312" w:eastAsia="仿宋_GB2312"/>
          <w:sz w:val="32"/>
          <w:szCs w:val="32"/>
        </w:rPr>
        <w:t>67</w:t>
      </w:r>
      <w:r>
        <w:rPr>
          <w:rFonts w:hint="eastAsia" w:ascii="仿宋_GB2312" w:eastAsia="仿宋_GB2312"/>
          <w:sz w:val="32"/>
          <w:szCs w:val="32"/>
        </w:rPr>
        <w:t>人，离休人员</w:t>
      </w:r>
      <w:r>
        <w:rPr>
          <w:rFonts w:ascii="仿宋_GB2312" w:eastAsia="仿宋_GB2312"/>
          <w:sz w:val="32"/>
          <w:szCs w:val="32"/>
        </w:rPr>
        <w:t>0</w:t>
      </w:r>
      <w:r>
        <w:rPr>
          <w:rFonts w:hint="eastAsia" w:ascii="仿宋_GB2312" w:eastAsia="仿宋_GB2312"/>
          <w:sz w:val="32"/>
          <w:szCs w:val="32"/>
        </w:rPr>
        <w:t>人，退休人员</w:t>
      </w:r>
      <w:r>
        <w:rPr>
          <w:rFonts w:ascii="仿宋_GB2312" w:eastAsia="仿宋_GB2312"/>
          <w:sz w:val="32"/>
          <w:szCs w:val="32"/>
        </w:rPr>
        <w:t>104</w:t>
      </w:r>
      <w:r>
        <w:rPr>
          <w:rFonts w:hint="eastAsia" w:ascii="仿宋_GB2312" w:eastAsia="仿宋_GB2312"/>
          <w:sz w:val="32"/>
          <w:szCs w:val="32"/>
        </w:rPr>
        <w:t>人。</w:t>
      </w:r>
    </w:p>
    <w:p>
      <w:pPr>
        <w:ind w:firstLine="640" w:firstLineChars="200"/>
        <w:rPr>
          <w:rFonts w:ascii="仿宋_GB2312" w:eastAsia="仿宋_GB2312"/>
          <w:sz w:val="32"/>
          <w:szCs w:val="32"/>
        </w:rPr>
      </w:pPr>
      <w:r>
        <w:rPr>
          <w:rFonts w:hint="eastAsia" w:ascii="仿宋_GB2312" w:eastAsia="仿宋_GB2312"/>
          <w:sz w:val="32"/>
          <w:szCs w:val="32"/>
        </w:rPr>
        <w:t>从部门决算单位构成看，新疆维吾尔自治区商务厅机关服务中心部门决算包括：新疆维吾尔自治区商务厅机关服务中心决算。</w:t>
      </w:r>
      <w:r>
        <w:rPr>
          <w:rFonts w:hint="eastAsia" w:ascii="仿宋_GB2312" w:hAnsi="黑体" w:eastAsia="仿宋_GB2312" w:cs="宋体"/>
          <w:bCs/>
          <w:kern w:val="0"/>
          <w:sz w:val="32"/>
          <w:szCs w:val="32"/>
        </w:rPr>
        <w:t>单位无下属预算单位，下设5个处室，分别是：办公室、财务科、资产科、管理科、车队</w:t>
      </w:r>
      <w:r>
        <w:rPr>
          <w:rFonts w:hint="eastAsia" w:ascii="仿宋_GB2312" w:hAnsi="宋体" w:eastAsia="仿宋_GB2312" w:cs="宋体"/>
          <w:kern w:val="0"/>
          <w:sz w:val="32"/>
          <w:szCs w:val="32"/>
        </w:rPr>
        <w:t>。</w:t>
      </w:r>
    </w:p>
    <w:p>
      <w:pPr>
        <w:ind w:firstLine="640" w:firstLineChars="200"/>
        <w:jc w:val="center"/>
        <w:outlineLvl w:val="0"/>
        <w:rPr>
          <w:rFonts w:ascii="黑体" w:hAnsi="黑体" w:eastAsia="黑体"/>
          <w:sz w:val="32"/>
          <w:szCs w:val="32"/>
        </w:rPr>
      </w:pPr>
      <w:bookmarkStart w:id="6" w:name="_Toc29374"/>
      <w:bookmarkStart w:id="7" w:name="_Toc3092"/>
      <w:r>
        <w:rPr>
          <w:rFonts w:hint="eastAsia" w:ascii="黑体" w:hAnsi="黑体" w:eastAsia="黑体"/>
          <w:sz w:val="32"/>
          <w:szCs w:val="32"/>
        </w:rPr>
        <w:br w:type="page"/>
      </w:r>
      <w:r>
        <w:rPr>
          <w:rFonts w:hint="eastAsia" w:ascii="黑体" w:hAnsi="黑体" w:eastAsia="黑体"/>
          <w:sz w:val="32"/>
          <w:szCs w:val="32"/>
        </w:rPr>
        <w:t>第二部分 部门决算情况说明</w:t>
      </w:r>
      <w:bookmarkEnd w:id="6"/>
      <w:bookmarkEnd w:id="7"/>
    </w:p>
    <w:p>
      <w:pPr>
        <w:ind w:firstLine="640" w:firstLineChars="200"/>
        <w:outlineLvl w:val="1"/>
        <w:rPr>
          <w:rFonts w:ascii="黑体" w:hAnsi="黑体" w:eastAsia="黑体" w:cs="宋体"/>
          <w:bCs/>
          <w:kern w:val="0"/>
          <w:sz w:val="32"/>
          <w:szCs w:val="32"/>
        </w:rPr>
      </w:pPr>
      <w:bookmarkStart w:id="8" w:name="_Toc12566"/>
      <w:bookmarkStart w:id="9" w:name="_Toc25314"/>
      <w:r>
        <w:rPr>
          <w:rFonts w:hint="eastAsia" w:ascii="黑体" w:hAnsi="黑体" w:eastAsia="黑体" w:cs="宋体"/>
          <w:bCs/>
          <w:kern w:val="0"/>
          <w:sz w:val="32"/>
          <w:szCs w:val="32"/>
        </w:rPr>
        <w:t>一、收入支出决算总体情况说明</w:t>
      </w:r>
      <w:bookmarkEnd w:id="8"/>
      <w:bookmarkEnd w:id="9"/>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年度收入总计1,112.31万元，其中：本年收入合计</w:t>
      </w:r>
      <w:r>
        <w:rPr>
          <w:rFonts w:ascii="仿宋_GB2312" w:eastAsia="仿宋_GB2312"/>
          <w:sz w:val="32"/>
          <w:szCs w:val="32"/>
        </w:rPr>
        <w:t>1,112.31</w:t>
      </w:r>
      <w:r>
        <w:rPr>
          <w:rFonts w:hint="eastAsia" w:ascii="仿宋_GB2312" w:eastAsia="仿宋_GB2312"/>
          <w:sz w:val="32"/>
          <w:szCs w:val="32"/>
        </w:rPr>
        <w:t>万元，使用非财政拨款结余0.00万元，年初结转和结余0.00万元。收入总计与上年相比，减少75.61万元，</w:t>
      </w:r>
      <w:r>
        <w:rPr>
          <w:rFonts w:ascii="仿宋_GB2312" w:eastAsia="仿宋_GB2312"/>
          <w:sz w:val="32"/>
          <w:szCs w:val="32"/>
        </w:rPr>
        <w:t>下降6.36</w:t>
      </w:r>
      <w:r>
        <w:rPr>
          <w:rFonts w:hint="eastAsia" w:ascii="仿宋_GB2312" w:eastAsia="仿宋_GB2312"/>
          <w:sz w:val="32"/>
          <w:szCs w:val="32"/>
        </w:rPr>
        <w:t>%，主要原因是：其他收入较上年有所减少。</w:t>
      </w:r>
    </w:p>
    <w:p>
      <w:pPr>
        <w:ind w:firstLine="640" w:firstLineChars="200"/>
        <w:rPr>
          <w:rFonts w:ascii="仿宋_GB2312" w:eastAsia="仿宋_GB2312"/>
          <w:sz w:val="32"/>
          <w:szCs w:val="32"/>
        </w:rPr>
      </w:pPr>
      <w:r>
        <w:rPr>
          <w:rFonts w:hint="eastAsia" w:ascii="仿宋_GB2312" w:eastAsia="仿宋_GB2312"/>
          <w:sz w:val="32"/>
          <w:szCs w:val="32"/>
        </w:rPr>
        <w:t>本年支出总计1,112.31万元，其中：本年支出合计</w:t>
      </w:r>
      <w:r>
        <w:rPr>
          <w:rFonts w:ascii="仿宋_GB2312" w:eastAsia="仿宋_GB2312"/>
          <w:sz w:val="32"/>
          <w:szCs w:val="32"/>
        </w:rPr>
        <w:t>1,112.31</w:t>
      </w:r>
      <w:r>
        <w:rPr>
          <w:rFonts w:hint="eastAsia" w:ascii="仿宋_GB2312" w:eastAsia="仿宋_GB2312"/>
          <w:sz w:val="32"/>
          <w:szCs w:val="32"/>
        </w:rPr>
        <w:t>万元，结余分配0.00万元，年末结转和结余0.00万元。支出总计与上年相比，</w:t>
      </w:r>
      <w:r>
        <w:rPr>
          <w:rFonts w:ascii="仿宋_GB2312" w:eastAsia="仿宋_GB2312"/>
          <w:sz w:val="32"/>
          <w:szCs w:val="32"/>
        </w:rPr>
        <w:t>减少75.61</w:t>
      </w:r>
      <w:r>
        <w:rPr>
          <w:rFonts w:hint="eastAsia" w:ascii="仿宋_GB2312" w:eastAsia="仿宋_GB2312"/>
          <w:sz w:val="32"/>
          <w:szCs w:val="32"/>
        </w:rPr>
        <w:t>万元，</w:t>
      </w:r>
      <w:r>
        <w:rPr>
          <w:rFonts w:ascii="仿宋_GB2312" w:eastAsia="仿宋_GB2312"/>
          <w:sz w:val="32"/>
          <w:szCs w:val="32"/>
        </w:rPr>
        <w:t>下降6.36</w:t>
      </w:r>
      <w:r>
        <w:rPr>
          <w:rFonts w:hint="eastAsia" w:ascii="仿宋_GB2312" w:eastAsia="仿宋_GB2312"/>
          <w:sz w:val="32"/>
          <w:szCs w:val="32"/>
        </w:rPr>
        <w:t>%，主要原因是：在职职工退休3人，辞职1人人员经费有所减少。</w:t>
      </w:r>
    </w:p>
    <w:p>
      <w:pPr>
        <w:ind w:firstLine="640" w:firstLineChars="200"/>
        <w:outlineLvl w:val="1"/>
        <w:rPr>
          <w:rFonts w:ascii="黑体" w:hAnsi="黑体" w:eastAsia="黑体" w:cs="宋体"/>
          <w:bCs/>
          <w:kern w:val="0"/>
          <w:sz w:val="32"/>
          <w:szCs w:val="32"/>
        </w:rPr>
      </w:pPr>
      <w:bookmarkStart w:id="10" w:name="_Toc12142"/>
      <w:bookmarkStart w:id="11" w:name="_Toc1979"/>
      <w:r>
        <w:rPr>
          <w:rFonts w:hint="eastAsia" w:ascii="黑体" w:hAnsi="黑体" w:eastAsia="黑体" w:cs="宋体"/>
          <w:bCs/>
          <w:kern w:val="0"/>
          <w:sz w:val="32"/>
          <w:szCs w:val="32"/>
        </w:rPr>
        <w:t>二、收入决算情况说明</w:t>
      </w:r>
      <w:bookmarkEnd w:id="10"/>
      <w:bookmarkEnd w:id="11"/>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年度本年收入</w:t>
      </w:r>
      <w:r>
        <w:rPr>
          <w:rFonts w:ascii="仿宋_GB2312" w:eastAsia="仿宋_GB2312"/>
          <w:sz w:val="32"/>
          <w:szCs w:val="32"/>
        </w:rPr>
        <w:t>1,112.31</w:t>
      </w:r>
      <w:r>
        <w:rPr>
          <w:rFonts w:hint="eastAsia" w:ascii="仿宋_GB2312" w:eastAsia="仿宋_GB2312"/>
          <w:sz w:val="32"/>
          <w:szCs w:val="32"/>
        </w:rPr>
        <w:t>万元，其中：财政拨款收入</w:t>
      </w:r>
      <w:r>
        <w:rPr>
          <w:rFonts w:ascii="仿宋_GB2312" w:eastAsia="仿宋_GB2312"/>
          <w:sz w:val="32"/>
          <w:szCs w:val="32"/>
        </w:rPr>
        <w:t>1,015.19</w:t>
      </w:r>
      <w:r>
        <w:rPr>
          <w:rFonts w:hint="eastAsia" w:ascii="仿宋_GB2312" w:eastAsia="仿宋_GB2312"/>
          <w:sz w:val="32"/>
          <w:szCs w:val="32"/>
        </w:rPr>
        <w:t>万元，占91.27%；上级补助收入</w:t>
      </w:r>
      <w:r>
        <w:rPr>
          <w:rFonts w:ascii="仿宋_GB2312" w:eastAsia="仿宋_GB2312"/>
          <w:sz w:val="32"/>
          <w:szCs w:val="32"/>
        </w:rPr>
        <w:t>0.00</w:t>
      </w:r>
      <w:r>
        <w:rPr>
          <w:rFonts w:hint="eastAsia" w:ascii="仿宋_GB2312" w:eastAsia="仿宋_GB2312"/>
          <w:sz w:val="32"/>
          <w:szCs w:val="32"/>
        </w:rPr>
        <w:t>万元，占0.00%；事业收入</w:t>
      </w:r>
      <w:r>
        <w:rPr>
          <w:rFonts w:ascii="仿宋_GB2312" w:eastAsia="仿宋_GB2312"/>
          <w:sz w:val="32"/>
          <w:szCs w:val="32"/>
        </w:rPr>
        <w:t>0.00</w:t>
      </w:r>
      <w:r>
        <w:rPr>
          <w:rFonts w:hint="eastAsia" w:ascii="仿宋_GB2312" w:eastAsia="仿宋_GB2312"/>
          <w:sz w:val="32"/>
          <w:szCs w:val="32"/>
        </w:rPr>
        <w:t>万元，占0.00%；经营收入</w:t>
      </w:r>
      <w:r>
        <w:rPr>
          <w:rFonts w:ascii="仿宋_GB2312" w:eastAsia="仿宋_GB2312"/>
          <w:sz w:val="32"/>
          <w:szCs w:val="32"/>
        </w:rPr>
        <w:t>0.00</w:t>
      </w:r>
      <w:r>
        <w:rPr>
          <w:rFonts w:hint="eastAsia" w:ascii="仿宋_GB2312" w:eastAsia="仿宋_GB2312"/>
          <w:sz w:val="32"/>
          <w:szCs w:val="32"/>
        </w:rPr>
        <w:t>万元，占0.00%；附属单位上缴收入</w:t>
      </w:r>
      <w:r>
        <w:rPr>
          <w:rFonts w:ascii="仿宋_GB2312" w:eastAsia="仿宋_GB2312"/>
          <w:sz w:val="32"/>
          <w:szCs w:val="32"/>
        </w:rPr>
        <w:t>0.00</w:t>
      </w:r>
      <w:r>
        <w:rPr>
          <w:rFonts w:hint="eastAsia" w:ascii="仿宋_GB2312" w:eastAsia="仿宋_GB2312"/>
          <w:sz w:val="32"/>
          <w:szCs w:val="32"/>
        </w:rPr>
        <w:t>万元，占0.00%；其他收入</w:t>
      </w:r>
      <w:r>
        <w:rPr>
          <w:rFonts w:ascii="仿宋_GB2312" w:eastAsia="仿宋_GB2312"/>
          <w:sz w:val="32"/>
          <w:szCs w:val="32"/>
        </w:rPr>
        <w:t>97.12</w:t>
      </w:r>
      <w:r>
        <w:rPr>
          <w:rFonts w:hint="eastAsia" w:ascii="仿宋_GB2312" w:eastAsia="仿宋_GB2312"/>
          <w:sz w:val="32"/>
          <w:szCs w:val="32"/>
        </w:rPr>
        <w:t>万元，占8.73%。</w:t>
      </w:r>
    </w:p>
    <w:p>
      <w:pPr>
        <w:ind w:firstLine="640" w:firstLineChars="200"/>
        <w:outlineLvl w:val="1"/>
        <w:rPr>
          <w:rFonts w:ascii="黑体" w:hAnsi="黑体" w:eastAsia="黑体" w:cs="宋体"/>
          <w:bCs/>
          <w:kern w:val="0"/>
          <w:sz w:val="32"/>
          <w:szCs w:val="32"/>
        </w:rPr>
      </w:pPr>
      <w:bookmarkStart w:id="12" w:name="_Toc27961"/>
      <w:bookmarkStart w:id="13" w:name="_Toc13201"/>
      <w:r>
        <w:rPr>
          <w:rFonts w:hint="eastAsia" w:ascii="黑体" w:hAnsi="黑体" w:eastAsia="黑体" w:cs="宋体"/>
          <w:bCs/>
          <w:kern w:val="0"/>
          <w:sz w:val="32"/>
          <w:szCs w:val="32"/>
        </w:rPr>
        <w:t>三、支出决算情况说明</w:t>
      </w:r>
      <w:bookmarkEnd w:id="12"/>
      <w:bookmarkEnd w:id="13"/>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年度本年支出1,112.31万元，其中：基本支出</w:t>
      </w:r>
      <w:r>
        <w:rPr>
          <w:rFonts w:ascii="仿宋_GB2312" w:eastAsia="仿宋_GB2312"/>
          <w:sz w:val="32"/>
          <w:szCs w:val="32"/>
        </w:rPr>
        <w:t>667.31</w:t>
      </w:r>
      <w:r>
        <w:rPr>
          <w:rFonts w:hint="eastAsia" w:ascii="仿宋_GB2312" w:eastAsia="仿宋_GB2312"/>
          <w:sz w:val="32"/>
          <w:szCs w:val="32"/>
        </w:rPr>
        <w:t>万元，占59.99%；项目支出</w:t>
      </w:r>
      <w:r>
        <w:rPr>
          <w:rFonts w:ascii="仿宋_GB2312" w:eastAsia="仿宋_GB2312"/>
          <w:sz w:val="32"/>
          <w:szCs w:val="32"/>
        </w:rPr>
        <w:t>445.00</w:t>
      </w:r>
      <w:r>
        <w:rPr>
          <w:rFonts w:hint="eastAsia" w:ascii="仿宋_GB2312" w:eastAsia="仿宋_GB2312"/>
          <w:sz w:val="32"/>
          <w:szCs w:val="32"/>
        </w:rPr>
        <w:t>万元，占40.01%；上缴上级支出</w:t>
      </w:r>
      <w:r>
        <w:rPr>
          <w:rFonts w:ascii="仿宋_GB2312" w:eastAsia="仿宋_GB2312"/>
          <w:sz w:val="32"/>
          <w:szCs w:val="32"/>
        </w:rPr>
        <w:t>0.00</w:t>
      </w:r>
      <w:r>
        <w:rPr>
          <w:rFonts w:hint="eastAsia" w:ascii="仿宋_GB2312" w:eastAsia="仿宋_GB2312"/>
          <w:sz w:val="32"/>
          <w:szCs w:val="32"/>
        </w:rPr>
        <w:t>万元，占0.00%；经营支出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%；对附属单位补助支出0.00万元，占0.00%。</w:t>
      </w:r>
    </w:p>
    <w:p>
      <w:pPr>
        <w:ind w:firstLine="640" w:firstLineChars="200"/>
        <w:outlineLvl w:val="1"/>
        <w:rPr>
          <w:rFonts w:ascii="黑体" w:hAnsi="黑体" w:eastAsia="黑体" w:cs="宋体"/>
          <w:bCs/>
          <w:kern w:val="0"/>
          <w:sz w:val="32"/>
          <w:szCs w:val="32"/>
        </w:rPr>
      </w:pPr>
      <w:bookmarkStart w:id="14" w:name="_Toc4393"/>
      <w:bookmarkStart w:id="15" w:name="_Toc26564"/>
      <w:r>
        <w:rPr>
          <w:rFonts w:hint="eastAsia" w:ascii="黑体" w:hAnsi="黑体" w:eastAsia="黑体" w:cs="宋体"/>
          <w:bCs/>
          <w:kern w:val="0"/>
          <w:sz w:val="32"/>
          <w:szCs w:val="32"/>
        </w:rPr>
        <w:t>四、财政拨款收入支出决算总体情况说明</w:t>
      </w:r>
      <w:bookmarkEnd w:id="14"/>
      <w:bookmarkEnd w:id="15"/>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财政拨款收入总计1,015.19万元，其中：年初财政拨款结转和结余0.00万元，财政拨款本年收入1,015.19万元。财政拨款收入总计与上年相比，增加57.26万元，增长5.98%，主要原因是：人员工资及社保金较上年有所增加。</w:t>
      </w:r>
    </w:p>
    <w:p>
      <w:pPr>
        <w:ind w:firstLine="640" w:firstLineChars="200"/>
        <w:rPr>
          <w:rFonts w:ascii="仿宋_GB2312" w:eastAsia="仿宋_GB2312"/>
          <w:sz w:val="32"/>
          <w:szCs w:val="32"/>
        </w:rPr>
      </w:pPr>
      <w:r>
        <w:rPr>
          <w:rFonts w:hint="eastAsia" w:ascii="仿宋_GB2312" w:eastAsia="仿宋_GB2312"/>
          <w:sz w:val="32"/>
          <w:szCs w:val="32"/>
        </w:rPr>
        <w:t>财政拨款支出总计1,015.19万元，其中：年末财政拨款结转和结余0.00万元，财政拨款本年支出1,015.19万元。财政拨款支出总计与上年相比，增加57.26万元，增长5.98%，主要原因是：人员工资及社保金较上年有所增加。</w:t>
      </w:r>
    </w:p>
    <w:p>
      <w:pPr>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与年初预算数相比情况：财政拨款收入总计年初预算数</w:t>
      </w:r>
      <w:r>
        <w:rPr>
          <w:rFonts w:ascii="仿宋_GB2312" w:eastAsia="仿宋_GB2312"/>
          <w:sz w:val="32"/>
          <w:szCs w:val="32"/>
        </w:rPr>
        <w:t>866.74</w:t>
      </w:r>
      <w:r>
        <w:rPr>
          <w:rFonts w:hint="eastAsia" w:ascii="仿宋_GB2312" w:eastAsia="仿宋_GB2312"/>
          <w:sz w:val="32"/>
          <w:szCs w:val="32"/>
        </w:rPr>
        <w:t>万元，决算数</w:t>
      </w:r>
      <w:r>
        <w:rPr>
          <w:rFonts w:ascii="仿宋_GB2312" w:eastAsia="仿宋_GB2312"/>
          <w:sz w:val="32"/>
          <w:szCs w:val="32"/>
        </w:rPr>
        <w:t>1,015.19</w:t>
      </w:r>
      <w:r>
        <w:rPr>
          <w:rFonts w:hint="eastAsia" w:ascii="仿宋_GB2312" w:eastAsia="仿宋_GB2312"/>
          <w:sz w:val="32"/>
          <w:szCs w:val="32"/>
        </w:rPr>
        <w:t>万元，预决算差异率</w:t>
      </w:r>
      <w:r>
        <w:rPr>
          <w:rFonts w:ascii="仿宋_GB2312" w:eastAsia="仿宋_GB2312"/>
          <w:sz w:val="32"/>
          <w:szCs w:val="32"/>
        </w:rPr>
        <w:t>17.13</w:t>
      </w:r>
      <w:r>
        <w:rPr>
          <w:rFonts w:hint="eastAsia" w:ascii="仿宋_GB2312" w:eastAsia="仿宋_GB2312"/>
          <w:sz w:val="32"/>
          <w:szCs w:val="32"/>
        </w:rPr>
        <w:t>%，主要原因是：追加人员调整工资及基础绩效奖等。财政拨款支出总计年初预算数</w:t>
      </w:r>
      <w:r>
        <w:rPr>
          <w:rFonts w:ascii="仿宋_GB2312" w:eastAsia="仿宋_GB2312"/>
          <w:sz w:val="32"/>
          <w:szCs w:val="32"/>
        </w:rPr>
        <w:t>866.74</w:t>
      </w:r>
      <w:r>
        <w:rPr>
          <w:rFonts w:hint="eastAsia" w:ascii="仿宋_GB2312" w:eastAsia="仿宋_GB2312"/>
          <w:sz w:val="32"/>
          <w:szCs w:val="32"/>
        </w:rPr>
        <w:t>万元，决算数</w:t>
      </w:r>
      <w:r>
        <w:rPr>
          <w:rFonts w:ascii="仿宋_GB2312" w:eastAsia="仿宋_GB2312"/>
          <w:sz w:val="32"/>
          <w:szCs w:val="32"/>
        </w:rPr>
        <w:t>1,015.19</w:t>
      </w:r>
      <w:r>
        <w:rPr>
          <w:rFonts w:hint="eastAsia" w:ascii="仿宋_GB2312" w:eastAsia="仿宋_GB2312"/>
          <w:sz w:val="32"/>
          <w:szCs w:val="32"/>
        </w:rPr>
        <w:t>万元，预决算差异率17.13%，主要原因是：追加人员调整工资及基础绩效奖等。</w:t>
      </w:r>
    </w:p>
    <w:p>
      <w:pPr>
        <w:ind w:firstLine="640" w:firstLineChars="200"/>
        <w:outlineLvl w:val="1"/>
        <w:rPr>
          <w:rFonts w:ascii="黑体" w:hAnsi="黑体" w:eastAsia="黑体" w:cs="宋体"/>
          <w:bCs/>
          <w:kern w:val="0"/>
          <w:sz w:val="32"/>
          <w:szCs w:val="32"/>
        </w:rPr>
      </w:pPr>
      <w:bookmarkStart w:id="16" w:name="_Toc20360"/>
      <w:bookmarkStart w:id="17" w:name="_Toc13833"/>
      <w:r>
        <w:rPr>
          <w:rFonts w:hint="eastAsia" w:ascii="黑体" w:hAnsi="黑体" w:eastAsia="黑体" w:cs="宋体"/>
          <w:bCs/>
          <w:kern w:val="0"/>
          <w:sz w:val="32"/>
          <w:szCs w:val="32"/>
        </w:rPr>
        <w:t>五、一般公共预算财政拨款支出决算情况说明</w:t>
      </w:r>
      <w:bookmarkEnd w:id="16"/>
      <w:bookmarkEnd w:id="17"/>
    </w:p>
    <w:p>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pPr>
        <w:spacing w:line="600" w:lineRule="exact"/>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年度一般公共预算财政拨款支出1,015.19万元，占本年支出合计的</w:t>
      </w:r>
      <w:r>
        <w:rPr>
          <w:rFonts w:ascii="仿宋_GB2312" w:eastAsia="仿宋_GB2312"/>
          <w:sz w:val="32"/>
          <w:szCs w:val="32"/>
        </w:rPr>
        <w:t>91.27</w:t>
      </w:r>
      <w:r>
        <w:rPr>
          <w:rFonts w:hint="eastAsia" w:ascii="仿宋_GB2312" w:eastAsia="仿宋_GB2312"/>
          <w:sz w:val="32"/>
          <w:szCs w:val="32"/>
        </w:rPr>
        <w:t>%，与上年相比，</w:t>
      </w:r>
      <w:r>
        <w:rPr>
          <w:rFonts w:ascii="仿宋_GB2312" w:eastAsia="仿宋_GB2312"/>
          <w:sz w:val="32"/>
          <w:szCs w:val="32"/>
        </w:rPr>
        <w:t>增加57.26</w:t>
      </w:r>
      <w:r>
        <w:rPr>
          <w:rFonts w:hint="eastAsia" w:ascii="仿宋_GB2312" w:eastAsia="仿宋_GB2312"/>
          <w:sz w:val="32"/>
          <w:szCs w:val="32"/>
        </w:rPr>
        <w:t>万元，</w:t>
      </w:r>
      <w:r>
        <w:rPr>
          <w:rFonts w:ascii="仿宋_GB2312" w:eastAsia="仿宋_GB2312"/>
          <w:sz w:val="32"/>
          <w:szCs w:val="32"/>
        </w:rPr>
        <w:t>增长5.98</w:t>
      </w:r>
      <w:r>
        <w:rPr>
          <w:rFonts w:hint="eastAsia" w:ascii="仿宋_GB2312" w:eastAsia="仿宋_GB2312"/>
          <w:sz w:val="32"/>
          <w:szCs w:val="32"/>
        </w:rPr>
        <w:t>%，主要原因是：人员工资及社保金较上年有所增加。</w:t>
      </w:r>
    </w:p>
    <w:p>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pPr>
        <w:ind w:firstLine="640" w:firstLineChars="200"/>
        <w:rPr>
          <w:rFonts w:ascii="黑体" w:hAnsi="黑体" w:eastAsia="黑体"/>
          <w:sz w:val="32"/>
          <w:szCs w:val="32"/>
        </w:rPr>
      </w:pPr>
      <w:r>
        <w:rPr>
          <w:rFonts w:hint="eastAsia" w:ascii="仿宋_GB2312" w:eastAsia="仿宋_GB2312"/>
          <w:sz w:val="32"/>
          <w:szCs w:val="32"/>
        </w:rPr>
        <w:t>1.一般公共服务支出(类)815.80万元,占80.36%。</w:t>
      </w:r>
    </w:p>
    <w:p>
      <w:pPr>
        <w:ind w:firstLine="640" w:firstLineChars="200"/>
        <w:outlineLvl w:val="2"/>
        <w:rPr>
          <w:rFonts w:ascii="黑体" w:hAnsi="黑体" w:eastAsia="黑体"/>
          <w:sz w:val="32"/>
          <w:szCs w:val="32"/>
        </w:rPr>
      </w:pPr>
      <w:r>
        <w:rPr>
          <w:rFonts w:hint="eastAsia" w:ascii="仿宋_GB2312" w:eastAsia="仿宋_GB2312"/>
          <w:sz w:val="32"/>
          <w:szCs w:val="32"/>
        </w:rPr>
        <w:t>2.社会保障和就业支出(类)134.92万元,占13.29%。</w:t>
      </w:r>
    </w:p>
    <w:p>
      <w:pPr>
        <w:ind w:firstLine="640" w:firstLineChars="200"/>
        <w:outlineLvl w:val="2"/>
        <w:rPr>
          <w:rFonts w:ascii="黑体" w:hAnsi="黑体" w:eastAsia="黑体"/>
          <w:sz w:val="32"/>
          <w:szCs w:val="32"/>
        </w:rPr>
      </w:pPr>
      <w:r>
        <w:rPr>
          <w:rFonts w:hint="eastAsia" w:ascii="仿宋_GB2312" w:eastAsia="仿宋_GB2312"/>
          <w:sz w:val="32"/>
          <w:szCs w:val="32"/>
        </w:rPr>
        <w:t>3.卫生健康支出(类)36.18万元,占3.56%。</w:t>
      </w:r>
    </w:p>
    <w:p>
      <w:pPr>
        <w:ind w:firstLine="640" w:firstLineChars="200"/>
        <w:outlineLvl w:val="2"/>
        <w:rPr>
          <w:rFonts w:ascii="黑体" w:hAnsi="黑体" w:eastAsia="黑体"/>
          <w:sz w:val="32"/>
          <w:szCs w:val="32"/>
        </w:rPr>
      </w:pPr>
      <w:r>
        <w:rPr>
          <w:rFonts w:hint="eastAsia" w:ascii="仿宋_GB2312" w:eastAsia="仿宋_GB2312"/>
          <w:sz w:val="32"/>
          <w:szCs w:val="32"/>
        </w:rPr>
        <w:t>4.住房保障支出(类)28.29万元,占2.79%。</w:t>
      </w:r>
    </w:p>
    <w:p>
      <w:pPr>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pPr>
        <w:ind w:firstLine="640" w:firstLineChars="200"/>
        <w:rPr>
          <w:rFonts w:ascii="仿宋_GB2312" w:eastAsia="仿宋_GB2312"/>
          <w:b/>
          <w:bCs/>
          <w:sz w:val="32"/>
          <w:szCs w:val="32"/>
          <w:highlight w:val="yellow"/>
        </w:rPr>
      </w:pPr>
      <w:r>
        <w:rPr>
          <w:rFonts w:hint="eastAsia" w:ascii="仿宋_GB2312" w:eastAsia="仿宋_GB2312"/>
          <w:sz w:val="32"/>
          <w:szCs w:val="32"/>
        </w:rPr>
        <w:t>1.一般公共服务支出(类)商贸事务(款)机关服务(项):支出决算数为815.80万元，比上年决算增加53.88万元，增长7.07%</w:t>
      </w:r>
      <w:r>
        <w:rPr>
          <w:rFonts w:ascii="仿宋_GB2312" w:eastAsia="仿宋_GB2312"/>
          <w:sz w:val="32"/>
          <w:szCs w:val="32"/>
        </w:rPr>
        <w:t>,</w:t>
      </w:r>
      <w:r>
        <w:rPr>
          <w:rFonts w:hint="eastAsia" w:ascii="仿宋_GB2312" w:eastAsia="仿宋_GB2312"/>
          <w:sz w:val="32"/>
          <w:szCs w:val="32"/>
        </w:rPr>
        <w:t>主要原因是:人员工资及社保金较上年有所增加。</w:t>
      </w:r>
    </w:p>
    <w:p>
      <w:pPr>
        <w:ind w:firstLine="640" w:firstLineChars="200"/>
        <w:outlineLvl w:val="1"/>
        <w:rPr>
          <w:rFonts w:ascii="黑体" w:hAnsi="黑体" w:eastAsia="黑体" w:cs="宋体"/>
          <w:bCs/>
          <w:kern w:val="0"/>
          <w:sz w:val="32"/>
          <w:szCs w:val="32"/>
        </w:rPr>
      </w:pPr>
      <w:bookmarkStart w:id="18" w:name="_Toc11146"/>
      <w:bookmarkStart w:id="19" w:name="_Toc30870"/>
      <w:r>
        <w:rPr>
          <w:rFonts w:hint="eastAsia" w:ascii="仿宋_GB2312" w:eastAsia="仿宋_GB2312"/>
          <w:sz w:val="32"/>
          <w:szCs w:val="32"/>
        </w:rPr>
        <w:t>2.社会保障和就业支出(类)行政事业单位养老支出(款)事业单位离退休(项):支出决算数为87.60万元，比上年决算增加28.43万元，增长48.05%</w:t>
      </w:r>
      <w:r>
        <w:rPr>
          <w:rFonts w:ascii="仿宋_GB2312" w:eastAsia="仿宋_GB2312"/>
          <w:sz w:val="32"/>
          <w:szCs w:val="32"/>
        </w:rPr>
        <w:t>,</w:t>
      </w:r>
      <w:r>
        <w:rPr>
          <w:rFonts w:hint="eastAsia" w:ascii="仿宋_GB2312" w:eastAsia="仿宋_GB2312"/>
          <w:sz w:val="32"/>
          <w:szCs w:val="32"/>
        </w:rPr>
        <w:t>主要原因是:退休职工医保金及基础绩效奖较上年有所增加。</w:t>
      </w:r>
    </w:p>
    <w:p>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3.社会保障和就业支出(类)行政事业单位养老支出(款)机关事业单位基本养老保险缴费支出(项):支出决算数为37.72万元，比上年决算增加1.94万元，增长5.42%</w:t>
      </w:r>
      <w:r>
        <w:rPr>
          <w:rFonts w:ascii="仿宋_GB2312" w:eastAsia="仿宋_GB2312"/>
          <w:sz w:val="32"/>
          <w:szCs w:val="32"/>
        </w:rPr>
        <w:t>,</w:t>
      </w:r>
      <w:r>
        <w:rPr>
          <w:rFonts w:hint="eastAsia" w:ascii="仿宋_GB2312" w:eastAsia="仿宋_GB2312"/>
          <w:sz w:val="32"/>
          <w:szCs w:val="32"/>
        </w:rPr>
        <w:t>主要原因是:在职人员社保金较上年有所增加。</w:t>
      </w:r>
    </w:p>
    <w:p>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4.社会保障和就业支出(类)行政事业单位养老支出(款)机关事业单位职业年金缴费支出(项):支出决算数为9.60万元，比上年决算增加9.60万元，增长100.00%</w:t>
      </w:r>
      <w:r>
        <w:rPr>
          <w:rFonts w:ascii="仿宋_GB2312" w:eastAsia="仿宋_GB2312"/>
          <w:sz w:val="32"/>
          <w:szCs w:val="32"/>
        </w:rPr>
        <w:t>,</w:t>
      </w:r>
      <w:r>
        <w:rPr>
          <w:rFonts w:hint="eastAsia" w:ascii="仿宋_GB2312" w:eastAsia="仿宋_GB2312"/>
          <w:sz w:val="32"/>
          <w:szCs w:val="32"/>
        </w:rPr>
        <w:t>主要原因是:全额拨款职工退休追加职业年金。</w:t>
      </w:r>
    </w:p>
    <w:p>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5.卫生健康支出(类)行政事业单位医疗(款)事业单位医疗(项):支出决算数为20.35万元，比上年决算增加1.10万元，增长5.71%</w:t>
      </w:r>
      <w:r>
        <w:rPr>
          <w:rFonts w:ascii="仿宋_GB2312" w:eastAsia="仿宋_GB2312"/>
          <w:sz w:val="32"/>
          <w:szCs w:val="32"/>
        </w:rPr>
        <w:t>,</w:t>
      </w:r>
      <w:r>
        <w:rPr>
          <w:rFonts w:hint="eastAsia" w:ascii="仿宋_GB2312" w:eastAsia="仿宋_GB2312"/>
          <w:sz w:val="32"/>
          <w:szCs w:val="32"/>
        </w:rPr>
        <w:t>主要原因是:在职人员医疗保险金较上年有所增加。</w:t>
      </w:r>
    </w:p>
    <w:p>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6.卫生健康支出(类)行政事业单位医疗(款)公务员医疗补助(项):支出决算数为15.83万元，比上年决算增加0.86万元，增长5.74%</w:t>
      </w:r>
      <w:r>
        <w:rPr>
          <w:rFonts w:ascii="仿宋_GB2312" w:eastAsia="仿宋_GB2312"/>
          <w:sz w:val="32"/>
          <w:szCs w:val="32"/>
        </w:rPr>
        <w:t>,</w:t>
      </w:r>
      <w:r>
        <w:rPr>
          <w:rFonts w:hint="eastAsia" w:ascii="仿宋_GB2312" w:eastAsia="仿宋_GB2312"/>
          <w:sz w:val="32"/>
          <w:szCs w:val="32"/>
        </w:rPr>
        <w:t>主要原因是:在职人员公务员医疗补助金较上年有所增加。</w:t>
      </w:r>
    </w:p>
    <w:p>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7.住房保障支出(类)住房改革支出(款)住房公积金(项):支出决算数为28.29万元，比上年决算增加1.45万元，增长5.40%</w:t>
      </w:r>
      <w:r>
        <w:rPr>
          <w:rFonts w:ascii="仿宋_GB2312" w:eastAsia="仿宋_GB2312"/>
          <w:sz w:val="32"/>
          <w:szCs w:val="32"/>
        </w:rPr>
        <w:t>,</w:t>
      </w:r>
      <w:r>
        <w:rPr>
          <w:rFonts w:hint="eastAsia" w:ascii="仿宋_GB2312" w:eastAsia="仿宋_GB2312"/>
          <w:sz w:val="32"/>
          <w:szCs w:val="32"/>
        </w:rPr>
        <w:t>主要原因是:在职人员住房公积金较上年有所增加。</w:t>
      </w:r>
    </w:p>
    <w:p>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8.教育支出(类)普通教育(款)学前教育(项):支出决算数为0.00万元，比上年决算减少40.00万元，下降100%</w:t>
      </w:r>
      <w:r>
        <w:rPr>
          <w:rFonts w:ascii="仿宋_GB2312" w:eastAsia="仿宋_GB2312"/>
          <w:sz w:val="32"/>
          <w:szCs w:val="32"/>
        </w:rPr>
        <w:t>,</w:t>
      </w:r>
      <w:r>
        <w:rPr>
          <w:rFonts w:hint="eastAsia" w:ascii="仿宋_GB2312" w:eastAsia="仿宋_GB2312"/>
          <w:sz w:val="32"/>
          <w:szCs w:val="32"/>
        </w:rPr>
        <w:t>主要原因是:2022年我单位无学前教育委托业务费。</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六、一般公共预算财政拨款基本支出决算情况说明</w:t>
      </w:r>
      <w:bookmarkEnd w:id="18"/>
      <w:bookmarkEnd w:id="19"/>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年度一般公共预算财政拨款基本支出</w:t>
      </w:r>
      <w:r>
        <w:rPr>
          <w:rFonts w:ascii="仿宋_GB2312" w:eastAsia="仿宋_GB2312"/>
          <w:sz w:val="32"/>
          <w:szCs w:val="32"/>
        </w:rPr>
        <w:t>570.19</w:t>
      </w:r>
      <w:r>
        <w:rPr>
          <w:rFonts w:hint="eastAsia" w:ascii="仿宋_GB2312" w:eastAsia="仿宋_GB2312"/>
          <w:sz w:val="32"/>
          <w:szCs w:val="32"/>
        </w:rPr>
        <w:t>万元，其中：</w:t>
      </w:r>
    </w:p>
    <w:p>
      <w:pPr>
        <w:ind w:firstLine="640" w:firstLineChars="200"/>
        <w:rPr>
          <w:rFonts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540.98</w:t>
      </w:r>
      <w:r>
        <w:rPr>
          <w:rFonts w:hint="eastAsia" w:ascii="仿宋_GB2312" w:eastAsia="仿宋_GB2312"/>
          <w:sz w:val="32"/>
          <w:szCs w:val="32"/>
        </w:rPr>
        <w:t>万元，包括：基本工资、津贴补贴、奖金、绩效工资、机关事业单位基本养老保险缴费、职业年金缴费、职工基本医疗保险缴费、公务员医疗补助缴费、其他社会保障缴费、住房公积金、退休费、医疗费补助、其他对个人和家庭的补助。</w:t>
      </w:r>
    </w:p>
    <w:p>
      <w:pPr>
        <w:ind w:firstLine="640" w:firstLineChars="200"/>
        <w:rPr>
          <w:rFonts w:ascii="仿宋_GB2312" w:hAnsi="宋体" w:eastAsia="仿宋_GB2312" w:cs="宋体"/>
          <w:kern w:val="0"/>
          <w:sz w:val="32"/>
          <w:szCs w:val="32"/>
        </w:rPr>
      </w:pPr>
      <w:r>
        <w:rPr>
          <w:rFonts w:hint="eastAsia" w:ascii="仿宋_GB2312" w:eastAsia="仿宋_GB2312"/>
          <w:sz w:val="32"/>
          <w:szCs w:val="32"/>
        </w:rPr>
        <w:t>公用经费29.21万元，包括：办公费、水费、电费、邮电费、取暖费、工会经费、福利费、其他商品和服务支出。</w:t>
      </w:r>
    </w:p>
    <w:p>
      <w:pPr>
        <w:ind w:firstLine="640" w:firstLineChars="200"/>
        <w:outlineLvl w:val="1"/>
        <w:rPr>
          <w:rFonts w:ascii="黑体" w:hAnsi="黑体" w:eastAsia="黑体" w:cs="宋体"/>
          <w:bCs/>
          <w:kern w:val="0"/>
          <w:sz w:val="32"/>
          <w:szCs w:val="32"/>
        </w:rPr>
      </w:pPr>
      <w:bookmarkStart w:id="20" w:name="_Toc7190"/>
      <w:bookmarkStart w:id="21" w:name="_Toc21518"/>
      <w:r>
        <w:rPr>
          <w:rFonts w:hint="eastAsia" w:ascii="黑体" w:hAnsi="黑体" w:eastAsia="黑体" w:cs="宋体"/>
          <w:bCs/>
          <w:kern w:val="0"/>
          <w:sz w:val="32"/>
          <w:szCs w:val="32"/>
        </w:rPr>
        <w:t>七、财政拨款“三公”经费支出决算情况说明</w:t>
      </w:r>
      <w:bookmarkEnd w:id="20"/>
      <w:bookmarkEnd w:id="21"/>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年度财政拨款“三公”经费支出决算</w:t>
      </w:r>
      <w:r>
        <w:rPr>
          <w:rFonts w:ascii="仿宋_GB2312" w:eastAsia="仿宋_GB2312"/>
          <w:sz w:val="32"/>
          <w:szCs w:val="32"/>
        </w:rPr>
        <w:t>0.00</w:t>
      </w:r>
      <w:r>
        <w:rPr>
          <w:rFonts w:hint="eastAsia" w:ascii="仿宋_GB2312" w:eastAsia="仿宋_GB2312"/>
          <w:sz w:val="32"/>
          <w:szCs w:val="32"/>
        </w:rPr>
        <w:t>万元，比上年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我单位无财政拨款“三公”经费支出</w:t>
      </w:r>
      <w:r>
        <w:rPr>
          <w:rFonts w:hint="eastAsia" w:ascii="仿宋_GB2312" w:eastAsia="仿宋_GB2312"/>
          <w:sz w:val="32"/>
          <w:szCs w:val="32"/>
        </w:rPr>
        <w:t>。其中：因公出国（境）费支出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我单位无因公出国（境）费</w:t>
      </w:r>
      <w:r>
        <w:rPr>
          <w:rFonts w:hint="eastAsia" w:ascii="仿宋_GB2312" w:eastAsia="仿宋_GB2312"/>
          <w:sz w:val="32"/>
          <w:szCs w:val="32"/>
        </w:rPr>
        <w:t>；公务用车购置及运行维护费支出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我单位无公务用车购置及运行维护费</w:t>
      </w:r>
      <w:r>
        <w:rPr>
          <w:rFonts w:hint="eastAsia" w:ascii="仿宋_GB2312" w:eastAsia="仿宋_GB2312"/>
          <w:sz w:val="32"/>
          <w:szCs w:val="32"/>
        </w:rPr>
        <w:t>；公务接待费支出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我单位无公务接待费</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因公出国（境）费支出</w:t>
      </w:r>
      <w:r>
        <w:rPr>
          <w:rFonts w:ascii="仿宋_GB2312" w:eastAsia="仿宋_GB2312"/>
          <w:sz w:val="32"/>
          <w:szCs w:val="32"/>
        </w:rPr>
        <w:t>0.00</w:t>
      </w:r>
      <w:r>
        <w:rPr>
          <w:rFonts w:hint="eastAsia" w:ascii="仿宋_GB2312" w:eastAsia="仿宋_GB2312"/>
          <w:sz w:val="32"/>
          <w:szCs w:val="32"/>
        </w:rPr>
        <w:t>万元，开支内容包括我单位无因公出国（境）费。单位全年安排的因公出国（境）团组</w:t>
      </w:r>
      <w:r>
        <w:rPr>
          <w:rFonts w:ascii="仿宋_GB2312" w:eastAsia="仿宋_GB2312"/>
          <w:sz w:val="32"/>
          <w:szCs w:val="32"/>
        </w:rPr>
        <w:t>0</w:t>
      </w:r>
      <w:r>
        <w:rPr>
          <w:rFonts w:hint="eastAsia" w:ascii="仿宋_GB2312" w:eastAsia="仿宋_GB2312"/>
          <w:sz w:val="32"/>
          <w:szCs w:val="32"/>
        </w:rPr>
        <w:t>个，因公出国（境）0人次。</w:t>
      </w:r>
    </w:p>
    <w:p>
      <w:pPr>
        <w:ind w:firstLine="640" w:firstLineChars="200"/>
        <w:rPr>
          <w:rFonts w:ascii="仿宋_GB2312" w:eastAsia="仿宋_GB2312"/>
          <w:sz w:val="32"/>
          <w:szCs w:val="32"/>
        </w:rPr>
      </w:pPr>
      <w:r>
        <w:rPr>
          <w:rFonts w:hint="eastAsia" w:ascii="仿宋_GB2312" w:eastAsia="仿宋_GB2312"/>
          <w:sz w:val="32"/>
          <w:szCs w:val="32"/>
        </w:rPr>
        <w:t>公务用车购置及运行维护费</w:t>
      </w:r>
      <w:r>
        <w:rPr>
          <w:rFonts w:ascii="仿宋_GB2312" w:eastAsia="仿宋_GB2312"/>
          <w:sz w:val="32"/>
          <w:szCs w:val="32"/>
        </w:rPr>
        <w:t>0.00</w:t>
      </w:r>
      <w:r>
        <w:rPr>
          <w:rFonts w:hint="eastAsia" w:ascii="仿宋_GB2312" w:eastAsia="仿宋_GB2312"/>
          <w:sz w:val="32"/>
          <w:szCs w:val="32"/>
        </w:rPr>
        <w:t>万元，其中：公务用车购置费</w:t>
      </w:r>
      <w:r>
        <w:rPr>
          <w:rFonts w:ascii="仿宋_GB2312" w:eastAsia="仿宋_GB2312"/>
          <w:sz w:val="32"/>
          <w:szCs w:val="32"/>
        </w:rPr>
        <w:t>0.00</w:t>
      </w:r>
      <w:r>
        <w:rPr>
          <w:rFonts w:hint="eastAsia" w:ascii="仿宋_GB2312" w:eastAsia="仿宋_GB2312"/>
          <w:sz w:val="32"/>
          <w:szCs w:val="32"/>
        </w:rPr>
        <w:t>万元，公务用车运行维护费</w:t>
      </w:r>
      <w:r>
        <w:rPr>
          <w:rFonts w:ascii="仿宋_GB2312" w:eastAsia="仿宋_GB2312"/>
          <w:sz w:val="32"/>
          <w:szCs w:val="32"/>
        </w:rPr>
        <w:t>0.00</w:t>
      </w:r>
      <w:r>
        <w:rPr>
          <w:rFonts w:hint="eastAsia" w:ascii="仿宋_GB2312" w:eastAsia="仿宋_GB2312"/>
          <w:sz w:val="32"/>
          <w:szCs w:val="32"/>
        </w:rPr>
        <w:t>万元。公务用车运行维护费开支内容包括我单位无公务用车运行维护费。公务用车购置数</w:t>
      </w:r>
      <w:r>
        <w:rPr>
          <w:rFonts w:ascii="仿宋_GB2312" w:eastAsia="仿宋_GB2312"/>
          <w:sz w:val="32"/>
          <w:szCs w:val="32"/>
        </w:rPr>
        <w:t>0</w:t>
      </w:r>
      <w:r>
        <w:rPr>
          <w:rFonts w:hint="eastAsia" w:ascii="仿宋_GB2312" w:eastAsia="仿宋_GB2312"/>
          <w:sz w:val="32"/>
          <w:szCs w:val="32"/>
        </w:rPr>
        <w:t>辆，公务用车保有量0辆。</w:t>
      </w:r>
    </w:p>
    <w:p>
      <w:pPr>
        <w:ind w:firstLine="640" w:firstLineChars="200"/>
        <w:rPr>
          <w:rFonts w:ascii="仿宋_GB2312" w:eastAsia="仿宋_GB2312"/>
          <w:sz w:val="32"/>
          <w:szCs w:val="32"/>
        </w:rPr>
      </w:pPr>
      <w:r>
        <w:rPr>
          <w:rFonts w:hint="eastAsia" w:ascii="仿宋_GB2312" w:eastAsia="仿宋_GB2312"/>
          <w:sz w:val="32"/>
          <w:szCs w:val="32"/>
        </w:rPr>
        <w:t>公务接待费</w:t>
      </w:r>
      <w:r>
        <w:rPr>
          <w:rFonts w:ascii="仿宋_GB2312" w:eastAsia="仿宋_GB2312"/>
          <w:sz w:val="32"/>
          <w:szCs w:val="32"/>
        </w:rPr>
        <w:t>0.00</w:t>
      </w:r>
      <w:r>
        <w:rPr>
          <w:rFonts w:hint="eastAsia" w:ascii="仿宋_GB2312" w:eastAsia="仿宋_GB2312"/>
          <w:sz w:val="32"/>
          <w:szCs w:val="32"/>
        </w:rPr>
        <w:t>万元，开支内容包括我单位无公务接待费。单位全年安排的国内公务接待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w:t>
      </w:r>
    </w:p>
    <w:p>
      <w:pPr>
        <w:ind w:firstLine="640" w:firstLineChars="200"/>
        <w:rPr>
          <w:rFonts w:ascii="仿宋_GB2312" w:eastAsia="仿宋_GB2312"/>
          <w:sz w:val="32"/>
          <w:szCs w:val="32"/>
        </w:rPr>
      </w:pPr>
      <w:r>
        <w:rPr>
          <w:rFonts w:hint="eastAsia" w:ascii="仿宋_GB2312" w:eastAsia="仿宋_GB2312"/>
          <w:sz w:val="32"/>
          <w:szCs w:val="32"/>
        </w:rPr>
        <w:t>与全年预算数相比情况：“三公”经费支出全年预算数0.00万元，决算数</w:t>
      </w:r>
      <w:r>
        <w:rPr>
          <w:rFonts w:ascii="仿宋_GB2312" w:eastAsia="仿宋_GB2312"/>
          <w:sz w:val="32"/>
          <w:szCs w:val="32"/>
        </w:rPr>
        <w:t>0.00</w:t>
      </w:r>
      <w:r>
        <w:rPr>
          <w:rFonts w:hint="eastAsia" w:ascii="仿宋_GB2312" w:eastAsia="仿宋_GB2312"/>
          <w:sz w:val="32"/>
          <w:szCs w:val="32"/>
        </w:rPr>
        <w:t>万元，预决算差异率0.00%，主要原因是：我单位无财政拨款“三公”经费支出。</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0.00万元，决算数0.00万元，预决算差异率0.00%，主要原因是：我单位无因公出国（境）费；</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费全年预算数0.00万元，决算数0.00万元，预决算差异率0.00%，主要原因是：我单位无公务用车购置费；</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预算数0.00万元，决算数0.00万元，预决算差异率0.00%，主要原因是：我单位无公务用车运行维护费；</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w:t>
      </w:r>
      <w:r>
        <w:rPr>
          <w:rFonts w:ascii="仿宋_GB2312" w:eastAsia="仿宋_GB2312"/>
          <w:sz w:val="32"/>
          <w:szCs w:val="32"/>
        </w:rPr>
        <w:t>0.00</w:t>
      </w:r>
      <w:r>
        <w:rPr>
          <w:rFonts w:hint="eastAsia" w:ascii="仿宋_GB2312" w:eastAsia="仿宋_GB2312"/>
          <w:sz w:val="32"/>
          <w:szCs w:val="32"/>
        </w:rPr>
        <w:t>万元，决算数</w:t>
      </w:r>
      <w:r>
        <w:rPr>
          <w:rFonts w:ascii="仿宋_GB2312" w:eastAsia="仿宋_GB2312"/>
          <w:sz w:val="32"/>
          <w:szCs w:val="32"/>
        </w:rPr>
        <w:t>0.00</w:t>
      </w:r>
      <w:r>
        <w:rPr>
          <w:rFonts w:hint="eastAsia" w:ascii="仿宋_GB2312" w:eastAsia="仿宋_GB2312"/>
          <w:sz w:val="32"/>
          <w:szCs w:val="32"/>
        </w:rPr>
        <w:t>万元，预决算差异率0.00%，主要原因是：我单位无公务接待费。</w:t>
      </w:r>
    </w:p>
    <w:p>
      <w:pPr>
        <w:ind w:firstLine="640" w:firstLineChars="200"/>
        <w:outlineLvl w:val="1"/>
        <w:rPr>
          <w:rFonts w:ascii="黑体" w:hAnsi="黑体" w:eastAsia="黑体" w:cs="宋体"/>
          <w:bCs/>
          <w:kern w:val="0"/>
          <w:sz w:val="32"/>
          <w:szCs w:val="32"/>
        </w:rPr>
      </w:pPr>
      <w:bookmarkStart w:id="22" w:name="_Toc5810"/>
      <w:bookmarkStart w:id="23" w:name="_Toc7927"/>
      <w:r>
        <w:rPr>
          <w:rFonts w:hint="eastAsia" w:ascii="黑体" w:hAnsi="黑体" w:eastAsia="黑体" w:cs="宋体"/>
          <w:bCs/>
          <w:kern w:val="0"/>
          <w:sz w:val="32"/>
          <w:szCs w:val="32"/>
        </w:rPr>
        <w:t>八、政府性基金预算财政拨款收入支出决算情况说明</w:t>
      </w:r>
      <w:bookmarkEnd w:id="22"/>
      <w:bookmarkEnd w:id="23"/>
    </w:p>
    <w:p>
      <w:pPr>
        <w:ind w:firstLine="640" w:firstLineChars="200"/>
        <w:rPr>
          <w:rFonts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pPr>
        <w:ind w:firstLine="640" w:firstLineChars="200"/>
        <w:rPr>
          <w:rFonts w:ascii="Arial" w:hAnsi="Arial" w:cs="Arial"/>
          <w:color w:val="4D4D4D"/>
          <w:shd w:val="clear" w:color="auto" w:fill="FFFFFF"/>
        </w:rPr>
      </w:pPr>
      <w:r>
        <w:rPr>
          <w:rFonts w:hint="eastAsia" w:ascii="黑体" w:hAnsi="黑体" w:eastAsia="黑体" w:cs="宋体"/>
          <w:bCs/>
          <w:kern w:val="0"/>
          <w:sz w:val="32"/>
          <w:szCs w:val="32"/>
        </w:rPr>
        <w:t>九、国有资本经营预算财政拨款收入支出决算情况说明</w:t>
      </w:r>
    </w:p>
    <w:p>
      <w:pPr>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pPr>
        <w:ind w:firstLine="640" w:firstLineChars="200"/>
        <w:rPr>
          <w:rFonts w:ascii="仿宋_GB2312" w:eastAsia="仿宋_GB2312"/>
          <w:sz w:val="32"/>
          <w:szCs w:val="32"/>
        </w:rPr>
      </w:pPr>
      <w:r>
        <w:rPr>
          <w:rFonts w:hint="eastAsia" w:ascii="黑体" w:hAnsi="黑体" w:eastAsia="黑体" w:cs="宋体"/>
          <w:bCs/>
          <w:kern w:val="0"/>
          <w:sz w:val="32"/>
          <w:szCs w:val="32"/>
        </w:rPr>
        <w:t>十、其他重要事项的情况说明</w:t>
      </w:r>
    </w:p>
    <w:p>
      <w:pPr>
        <w:ind w:firstLine="640" w:firstLineChars="200"/>
        <w:outlineLvl w:val="2"/>
        <w:rPr>
          <w:rFonts w:ascii="黑体" w:hAnsi="黑体" w:eastAsia="黑体"/>
          <w:sz w:val="32"/>
          <w:szCs w:val="32"/>
        </w:rPr>
      </w:pPr>
      <w:r>
        <w:rPr>
          <w:rFonts w:hint="eastAsia" w:ascii="黑体" w:hAnsi="黑体" w:eastAsia="黑体"/>
          <w:sz w:val="32"/>
          <w:szCs w:val="32"/>
        </w:rPr>
        <w:t>（一）机关运行经费支出情况</w:t>
      </w:r>
    </w:p>
    <w:p>
      <w:pPr>
        <w:ind w:firstLine="640" w:firstLineChars="200"/>
        <w:outlineLvl w:val="2"/>
        <w:rPr>
          <w:rFonts w:ascii="黑体" w:hAnsi="黑体" w:eastAsia="黑体"/>
          <w:sz w:val="32"/>
          <w:szCs w:val="32"/>
        </w:rPr>
      </w:pPr>
      <w:r>
        <w:rPr>
          <w:rFonts w:hint="eastAsia" w:ascii="仿宋_GB2312" w:eastAsia="仿宋_GB2312"/>
          <w:sz w:val="32"/>
          <w:szCs w:val="32"/>
        </w:rPr>
        <w:t>2022年度新疆维吾尔自治区商务厅机关服务中心（事业单位）公用经费29.21万元，比上年减少74.21万元，下降71.76%，主要原因是：2022年我单位无学前教育委托业务费；因疫情原因我单位办公费差旅费维修费等公用支出较上年有所减少。</w:t>
      </w:r>
    </w:p>
    <w:p>
      <w:pPr>
        <w:ind w:firstLine="800" w:firstLineChars="250"/>
        <w:outlineLvl w:val="2"/>
        <w:rPr>
          <w:rFonts w:ascii="黑体" w:hAnsi="黑体" w:eastAsia="黑体"/>
          <w:sz w:val="32"/>
          <w:szCs w:val="32"/>
        </w:rPr>
      </w:pPr>
      <w:bookmarkStart w:id="24" w:name="_Toc26704"/>
      <w:bookmarkStart w:id="25" w:name="_Toc227"/>
      <w:r>
        <w:rPr>
          <w:rFonts w:hint="eastAsia" w:ascii="黑体" w:hAnsi="黑体" w:eastAsia="黑体"/>
          <w:sz w:val="32"/>
          <w:szCs w:val="32"/>
        </w:rPr>
        <w:t>（二）政府采购情况</w:t>
      </w:r>
      <w:bookmarkEnd w:id="24"/>
      <w:bookmarkEnd w:id="25"/>
    </w:p>
    <w:p>
      <w:pPr>
        <w:ind w:firstLine="640" w:firstLineChars="200"/>
        <w:rPr>
          <w:rFonts w:ascii="仿宋_GB2312" w:eastAsia="仿宋_GB2312"/>
          <w:sz w:val="32"/>
          <w:szCs w:val="32"/>
        </w:rPr>
      </w:pPr>
      <w:r>
        <w:rPr>
          <w:rFonts w:hint="eastAsia" w:ascii="仿宋_GB2312" w:eastAsia="仿宋_GB2312"/>
          <w:sz w:val="32"/>
          <w:szCs w:val="32"/>
        </w:rPr>
        <w:t>2022年度政府采购支出总额</w:t>
      </w:r>
      <w:r>
        <w:rPr>
          <w:rFonts w:ascii="仿宋_GB2312" w:eastAsia="仿宋_GB2312"/>
          <w:sz w:val="32"/>
          <w:szCs w:val="32"/>
        </w:rPr>
        <w:t>0.00</w:t>
      </w:r>
      <w:r>
        <w:rPr>
          <w:rFonts w:hint="eastAsia" w:ascii="仿宋_GB2312" w:eastAsia="仿宋_GB2312"/>
          <w:sz w:val="32"/>
          <w:szCs w:val="32"/>
        </w:rPr>
        <w:t>万元，其中：政府采购货物支出</w:t>
      </w:r>
      <w:r>
        <w:rPr>
          <w:rFonts w:ascii="仿宋_GB2312" w:eastAsia="仿宋_GB2312"/>
          <w:sz w:val="32"/>
          <w:szCs w:val="32"/>
        </w:rPr>
        <w:t>0.00</w:t>
      </w:r>
      <w:r>
        <w:rPr>
          <w:rFonts w:hint="eastAsia" w:ascii="仿宋_GB2312" w:eastAsia="仿宋_GB2312"/>
          <w:sz w:val="32"/>
          <w:szCs w:val="32"/>
        </w:rPr>
        <w:t>万元、政府采购工程支出</w:t>
      </w:r>
      <w:r>
        <w:rPr>
          <w:rFonts w:ascii="仿宋_GB2312" w:eastAsia="仿宋_GB2312"/>
          <w:sz w:val="32"/>
          <w:szCs w:val="32"/>
        </w:rPr>
        <w:t>0.00</w:t>
      </w:r>
      <w:r>
        <w:rPr>
          <w:rFonts w:hint="eastAsia" w:ascii="仿宋_GB2312" w:eastAsia="仿宋_GB2312"/>
          <w:sz w:val="32"/>
          <w:szCs w:val="32"/>
        </w:rPr>
        <w:t>万元、政府采购服务支出</w:t>
      </w:r>
      <w:r>
        <w:rPr>
          <w:rFonts w:ascii="仿宋_GB2312" w:eastAsia="仿宋_GB2312"/>
          <w:sz w:val="32"/>
          <w:szCs w:val="32"/>
        </w:rPr>
        <w:t>0.00</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授予中小企业合同金额</w:t>
      </w:r>
      <w:r>
        <w:rPr>
          <w:rFonts w:ascii="仿宋_GB2312" w:eastAsia="仿宋_GB2312"/>
          <w:sz w:val="32"/>
          <w:szCs w:val="32"/>
        </w:rPr>
        <w:t>0.00</w:t>
      </w:r>
      <w:r>
        <w:rPr>
          <w:rFonts w:hint="eastAsia" w:ascii="仿宋_GB2312" w:eastAsia="仿宋_GB2312"/>
          <w:sz w:val="32"/>
          <w:szCs w:val="32"/>
        </w:rPr>
        <w:t>万元，占政府采购支出总额的</w:t>
      </w:r>
      <w:r>
        <w:rPr>
          <w:rFonts w:ascii="仿宋_GB2312" w:eastAsia="仿宋_GB2312"/>
          <w:sz w:val="32"/>
          <w:szCs w:val="32"/>
        </w:rPr>
        <w:t>0.00</w:t>
      </w:r>
      <w:r>
        <w:rPr>
          <w:rFonts w:hint="eastAsia" w:ascii="仿宋_GB2312" w:eastAsia="仿宋_GB2312"/>
          <w:sz w:val="32"/>
          <w:szCs w:val="32"/>
        </w:rPr>
        <w:t>%，其中：授予小微企业合同金额</w:t>
      </w:r>
      <w:r>
        <w:rPr>
          <w:rFonts w:ascii="仿宋_GB2312" w:eastAsia="仿宋_GB2312"/>
          <w:sz w:val="32"/>
          <w:szCs w:val="32"/>
        </w:rPr>
        <w:t>0.00</w:t>
      </w:r>
      <w:r>
        <w:rPr>
          <w:rFonts w:hint="eastAsia" w:ascii="仿宋_GB2312" w:eastAsia="仿宋_GB2312"/>
          <w:sz w:val="32"/>
          <w:szCs w:val="32"/>
        </w:rPr>
        <w:t>万元，占政府采购支出总额的</w:t>
      </w:r>
      <w:r>
        <w:rPr>
          <w:rFonts w:ascii="仿宋_GB2312" w:eastAsia="仿宋_GB2312"/>
          <w:sz w:val="32"/>
          <w:szCs w:val="32"/>
        </w:rPr>
        <w:t>0.00</w:t>
      </w:r>
      <w:r>
        <w:rPr>
          <w:rFonts w:hint="eastAsia" w:ascii="仿宋_GB2312" w:eastAsia="仿宋_GB2312"/>
          <w:sz w:val="32"/>
          <w:szCs w:val="32"/>
        </w:rPr>
        <w:t>%。</w:t>
      </w:r>
    </w:p>
    <w:p>
      <w:pPr>
        <w:ind w:firstLine="640" w:firstLineChars="200"/>
        <w:outlineLvl w:val="2"/>
        <w:rPr>
          <w:rFonts w:ascii="黑体" w:hAnsi="黑体" w:eastAsia="黑体"/>
          <w:sz w:val="32"/>
          <w:szCs w:val="32"/>
        </w:rPr>
      </w:pPr>
      <w:bookmarkStart w:id="26" w:name="_Toc8391"/>
      <w:bookmarkStart w:id="27" w:name="_Toc4591"/>
      <w:r>
        <w:rPr>
          <w:rFonts w:hint="eastAsia" w:ascii="黑体" w:hAnsi="黑体" w:eastAsia="黑体"/>
          <w:sz w:val="32"/>
          <w:szCs w:val="32"/>
        </w:rPr>
        <w:t>（三）国有资产占用情况说明</w:t>
      </w:r>
      <w:bookmarkEnd w:id="26"/>
      <w:bookmarkEnd w:id="27"/>
    </w:p>
    <w:p>
      <w:pPr>
        <w:ind w:firstLine="640" w:firstLineChars="200"/>
        <w:rPr>
          <w:rFonts w:ascii="仿宋_GB2312" w:eastAsia="仿宋_GB2312"/>
          <w:sz w:val="32"/>
          <w:szCs w:val="32"/>
        </w:rPr>
      </w:pPr>
      <w:r>
        <w:rPr>
          <w:rFonts w:hint="eastAsia" w:ascii="仿宋_GB2312" w:eastAsia="仿宋_GB2312"/>
          <w:sz w:val="32"/>
          <w:szCs w:val="32"/>
        </w:rPr>
        <w:t>截止2022年12月31日，固定资产原值99.01万元，房屋</w:t>
      </w:r>
      <w:r>
        <w:rPr>
          <w:rFonts w:ascii="仿宋_GB2312" w:eastAsia="仿宋_GB2312"/>
          <w:sz w:val="32"/>
          <w:szCs w:val="32"/>
        </w:rPr>
        <w:t>180.00</w:t>
      </w:r>
      <w:r>
        <w:rPr>
          <w:rFonts w:hint="eastAsia" w:ascii="仿宋_GB2312" w:eastAsia="仿宋_GB2312"/>
          <w:sz w:val="32"/>
          <w:szCs w:val="32"/>
        </w:rPr>
        <w:t>平方米，价值</w:t>
      </w:r>
      <w:r>
        <w:rPr>
          <w:rFonts w:ascii="仿宋_GB2312" w:eastAsia="仿宋_GB2312"/>
          <w:sz w:val="32"/>
          <w:szCs w:val="32"/>
        </w:rPr>
        <w:t>14.78</w:t>
      </w:r>
      <w:r>
        <w:rPr>
          <w:rFonts w:hint="eastAsia" w:ascii="仿宋_GB2312" w:eastAsia="仿宋_GB2312"/>
          <w:sz w:val="32"/>
          <w:szCs w:val="32"/>
        </w:rPr>
        <w:t>万元。车辆</w:t>
      </w:r>
      <w:r>
        <w:rPr>
          <w:rFonts w:ascii="仿宋_GB2312" w:eastAsia="仿宋_GB2312"/>
          <w:sz w:val="32"/>
          <w:szCs w:val="32"/>
        </w:rPr>
        <w:t>7</w:t>
      </w:r>
      <w:r>
        <w:rPr>
          <w:rFonts w:hint="eastAsia" w:ascii="仿宋_GB2312" w:eastAsia="仿宋_GB2312"/>
          <w:sz w:val="32"/>
          <w:szCs w:val="32"/>
        </w:rPr>
        <w:t>辆，价值</w:t>
      </w:r>
      <w:r>
        <w:rPr>
          <w:rFonts w:ascii="仿宋_GB2312" w:eastAsia="仿宋_GB2312"/>
          <w:sz w:val="32"/>
          <w:szCs w:val="32"/>
        </w:rPr>
        <w:t>57.57</w:t>
      </w:r>
      <w:r>
        <w:rPr>
          <w:rFonts w:hint="eastAsia" w:ascii="仿宋_GB2312" w:eastAsia="仿宋_GB2312"/>
          <w:sz w:val="32"/>
          <w:szCs w:val="32"/>
        </w:rPr>
        <w:t>万元，其中：副部（省）级及以上领导用车0辆、主要领导干部用车0辆、机要通信用车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辆、离退休干部用车</w:t>
      </w:r>
      <w:r>
        <w:rPr>
          <w:rFonts w:ascii="仿宋_GB2312" w:eastAsia="仿宋_GB2312"/>
          <w:sz w:val="32"/>
          <w:szCs w:val="32"/>
        </w:rPr>
        <w:t>0</w:t>
      </w:r>
      <w:r>
        <w:rPr>
          <w:rFonts w:hint="eastAsia" w:ascii="仿宋_GB2312" w:eastAsia="仿宋_GB2312"/>
          <w:sz w:val="32"/>
          <w:szCs w:val="32"/>
        </w:rPr>
        <w:t>辆、</w:t>
      </w:r>
      <w:r>
        <w:rPr>
          <w:rFonts w:hint="eastAsia" w:ascii="仿宋_GB2312" w:eastAsia="仿宋_GB2312"/>
          <w:sz w:val="32"/>
          <w:szCs w:val="32"/>
          <w:lang w:eastAsia="zh-CN"/>
        </w:rPr>
        <w:t>其他用车</w:t>
      </w:r>
      <w:r>
        <w:rPr>
          <w:rFonts w:ascii="仿宋_GB2312" w:eastAsia="仿宋_GB2312"/>
          <w:sz w:val="32"/>
          <w:szCs w:val="32"/>
        </w:rPr>
        <w:t>7</w:t>
      </w:r>
      <w:r>
        <w:rPr>
          <w:rFonts w:hint="eastAsia" w:ascii="仿宋_GB2312" w:eastAsia="仿宋_GB2312"/>
          <w:sz w:val="32"/>
          <w:szCs w:val="32"/>
        </w:rPr>
        <w:t>辆，</w:t>
      </w:r>
      <w:r>
        <w:rPr>
          <w:rFonts w:hint="eastAsia" w:ascii="仿宋_GB2312" w:eastAsia="仿宋_GB2312"/>
          <w:sz w:val="32"/>
          <w:szCs w:val="32"/>
          <w:lang w:eastAsia="zh-CN"/>
        </w:rPr>
        <w:t>其他用车</w:t>
      </w:r>
      <w:r>
        <w:rPr>
          <w:rFonts w:hint="eastAsia" w:ascii="仿宋_GB2312" w:eastAsia="仿宋_GB2312"/>
          <w:sz w:val="32"/>
          <w:szCs w:val="32"/>
        </w:rPr>
        <w:t>主要是：</w:t>
      </w:r>
      <w:r>
        <w:rPr>
          <w:rFonts w:hint="eastAsia" w:ascii="仿宋_GB2312" w:eastAsia="仿宋_GB2312"/>
          <w:sz w:val="32"/>
          <w:szCs w:val="32"/>
          <w:lang w:eastAsia="zh-CN"/>
        </w:rPr>
        <w:t>目前七辆车已停用，待报废</w:t>
      </w:r>
      <w:bookmarkStart w:id="50" w:name="_GoBack"/>
      <w:bookmarkEnd w:id="50"/>
      <w:r>
        <w:rPr>
          <w:rFonts w:hint="eastAsia" w:ascii="仿宋_GB2312" w:eastAsia="仿宋_GB2312"/>
          <w:sz w:val="32"/>
          <w:szCs w:val="32"/>
        </w:rPr>
        <w:t>；单价100万元（含）以上设备（不含车辆）</w:t>
      </w:r>
      <w:r>
        <w:rPr>
          <w:rFonts w:ascii="仿宋_GB2312" w:eastAsia="仿宋_GB2312"/>
          <w:sz w:val="32"/>
          <w:szCs w:val="32"/>
        </w:rPr>
        <w:t>0</w:t>
      </w:r>
      <w:r>
        <w:rPr>
          <w:rFonts w:hint="eastAsia" w:ascii="仿宋_GB2312" w:eastAsia="仿宋_GB2312"/>
          <w:sz w:val="32"/>
          <w:szCs w:val="32"/>
        </w:rPr>
        <w:t>台（套）。</w:t>
      </w:r>
    </w:p>
    <w:p>
      <w:pPr>
        <w:ind w:firstLine="640" w:firstLineChars="200"/>
        <w:outlineLvl w:val="1"/>
        <w:rPr>
          <w:rFonts w:ascii="黑体" w:hAnsi="黑体" w:eastAsia="黑体" w:cs="宋体"/>
          <w:bCs/>
          <w:kern w:val="0"/>
          <w:sz w:val="32"/>
          <w:szCs w:val="32"/>
        </w:rPr>
      </w:pPr>
      <w:bookmarkStart w:id="28" w:name="_Toc435"/>
      <w:bookmarkStart w:id="29" w:name="_Toc11283"/>
      <w:r>
        <w:rPr>
          <w:rFonts w:hint="eastAsia" w:ascii="黑体" w:hAnsi="黑体" w:eastAsia="黑体" w:cs="宋体"/>
          <w:bCs/>
          <w:kern w:val="0"/>
          <w:sz w:val="32"/>
          <w:szCs w:val="32"/>
        </w:rPr>
        <w:t>十一、预算绩效的情况说明</w:t>
      </w:r>
      <w:bookmarkEnd w:id="28"/>
      <w:bookmarkEnd w:id="29"/>
    </w:p>
    <w:p>
      <w:pPr>
        <w:ind w:firstLine="640" w:firstLineChars="200"/>
        <w:rPr>
          <w:rFonts w:ascii="仿宋_GB2312" w:eastAsia="仿宋_GB2312"/>
          <w:sz w:val="32"/>
          <w:szCs w:val="32"/>
        </w:rPr>
      </w:pPr>
      <w:r>
        <w:rPr>
          <w:rFonts w:hint="eastAsia" w:ascii="仿宋_GB2312" w:eastAsia="仿宋_GB2312"/>
          <w:sz w:val="32"/>
          <w:szCs w:val="32"/>
        </w:rPr>
        <w:t>根据预算绩效管理要求，我单位</w:t>
      </w:r>
      <w:r>
        <w:rPr>
          <w:rFonts w:ascii="仿宋_GB2312" w:eastAsia="仿宋_GB2312"/>
          <w:sz w:val="32"/>
          <w:szCs w:val="32"/>
        </w:rPr>
        <w:t>2022</w:t>
      </w:r>
      <w:r>
        <w:rPr>
          <w:rFonts w:hint="eastAsia" w:ascii="仿宋_GB2312" w:eastAsia="仿宋_GB2312"/>
          <w:sz w:val="32"/>
          <w:szCs w:val="32"/>
        </w:rPr>
        <w:t>年度开展预算绩效评价项目</w:t>
      </w:r>
      <w:r>
        <w:rPr>
          <w:rFonts w:ascii="仿宋_GB2312" w:eastAsia="仿宋_GB2312"/>
          <w:sz w:val="32"/>
          <w:szCs w:val="32"/>
        </w:rPr>
        <w:t>1</w:t>
      </w:r>
      <w:r>
        <w:rPr>
          <w:rFonts w:hint="eastAsia" w:ascii="仿宋_GB2312" w:eastAsia="仿宋_GB2312"/>
          <w:sz w:val="32"/>
          <w:szCs w:val="32"/>
        </w:rPr>
        <w:t>个，全年预算数445.00万元，全年执行数445.00万元。预算绩效管理取得的成效：</w:t>
      </w:r>
      <w:r>
        <w:rPr>
          <w:rFonts w:ascii="仿宋_GB2312" w:eastAsia="仿宋_GB2312"/>
          <w:sz w:val="32"/>
          <w:szCs w:val="32"/>
        </w:rPr>
        <w:t>一是保障自治区对商务厅机关服务中心正常办公经费支出及44名自收自支事业编制人员的基本工资和各项基本福利待遇。二是全部用于机关服务中心自收自支编制人员工资福利支出、基本养老统筹支出和对个人及家庭补助支出</w:t>
      </w:r>
      <w:r>
        <w:rPr>
          <w:rFonts w:hint="eastAsia" w:ascii="仿宋_GB2312" w:eastAsia="仿宋_GB2312"/>
          <w:sz w:val="32"/>
          <w:szCs w:val="32"/>
        </w:rPr>
        <w:t>。发现的问题及原因：</w:t>
      </w:r>
      <w:r>
        <w:rPr>
          <w:rFonts w:ascii="仿宋_GB2312" w:eastAsia="仿宋_GB2312"/>
          <w:sz w:val="32"/>
          <w:szCs w:val="32"/>
        </w:rPr>
        <w:t>一是预算绩效管理意识有待进一步加强。二是项目实施方案中，项目绩效目标内容制定不够完整，对项目具体实施指导性不强</w:t>
      </w:r>
      <w:r>
        <w:rPr>
          <w:rFonts w:hint="eastAsia" w:ascii="仿宋_GB2312" w:eastAsia="仿宋_GB2312"/>
          <w:sz w:val="32"/>
          <w:szCs w:val="32"/>
        </w:rPr>
        <w:t>。下一步改进措施：</w:t>
      </w:r>
      <w:r>
        <w:rPr>
          <w:rFonts w:ascii="仿宋_GB2312" w:eastAsia="仿宋_GB2312"/>
          <w:sz w:val="32"/>
          <w:szCs w:val="32"/>
        </w:rPr>
        <w:t>一是严格按照财政厅预算要求，执行预算管理制度，确保时间按进度、数量按预算、质量按要求、成本控制合理。二是建议有针对性的对预算单位财务人员组织相关规范和条例进行学习，以提高工作人员对绩效目标充分认识</w:t>
      </w:r>
      <w:r>
        <w:rPr>
          <w:rFonts w:hint="eastAsia" w:ascii="仿宋_GB2312" w:eastAsia="仿宋_GB2312"/>
          <w:sz w:val="32"/>
          <w:szCs w:val="32"/>
        </w:rPr>
        <w:t>。具体项目自评情况见附件。</w:t>
      </w:r>
    </w:p>
    <w:p>
      <w:pPr>
        <w:widowControl/>
        <w:jc w:val="left"/>
        <w:rPr>
          <w:rFonts w:ascii="黑体" w:hAnsi="黑体" w:eastAsia="黑体"/>
          <w:sz w:val="32"/>
          <w:szCs w:val="32"/>
        </w:rPr>
      </w:pPr>
      <w:bookmarkStart w:id="30" w:name="_Toc3250"/>
      <w:bookmarkStart w:id="31" w:name="_Toc24143"/>
      <w:r>
        <w:rPr>
          <w:rFonts w:ascii="黑体" w:hAnsi="黑体" w:eastAsia="黑体"/>
          <w:sz w:val="32"/>
          <w:szCs w:val="32"/>
        </w:rPr>
        <w:br w:type="page"/>
      </w:r>
    </w:p>
    <w:tbl>
      <w:tblPr>
        <w:tblStyle w:val="9"/>
        <w:tblW w:w="9681" w:type="dxa"/>
        <w:tblInd w:w="-601" w:type="dxa"/>
        <w:tblLayout w:type="autofit"/>
        <w:tblCellMar>
          <w:top w:w="0" w:type="dxa"/>
          <w:left w:w="108" w:type="dxa"/>
          <w:bottom w:w="0" w:type="dxa"/>
          <w:right w:w="108" w:type="dxa"/>
        </w:tblCellMar>
      </w:tblPr>
      <w:tblGrid>
        <w:gridCol w:w="567"/>
        <w:gridCol w:w="762"/>
        <w:gridCol w:w="875"/>
        <w:gridCol w:w="709"/>
        <w:gridCol w:w="977"/>
        <w:gridCol w:w="236"/>
        <w:gridCol w:w="1254"/>
        <w:gridCol w:w="1075"/>
        <w:gridCol w:w="434"/>
        <w:gridCol w:w="578"/>
        <w:gridCol w:w="220"/>
        <w:gridCol w:w="600"/>
        <w:gridCol w:w="438"/>
        <w:gridCol w:w="956"/>
      </w:tblGrid>
      <w:tr>
        <w:tblPrEx>
          <w:tblCellMar>
            <w:top w:w="0" w:type="dxa"/>
            <w:left w:w="108" w:type="dxa"/>
            <w:bottom w:w="0" w:type="dxa"/>
            <w:right w:w="108" w:type="dxa"/>
          </w:tblCellMar>
        </w:tblPrEx>
        <w:trPr>
          <w:trHeight w:val="405" w:hRule="atLeast"/>
        </w:trPr>
        <w:tc>
          <w:tcPr>
            <w:tcW w:w="9681" w:type="dxa"/>
            <w:gridSpan w:val="14"/>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项目支出绩效自评表</w:t>
            </w:r>
          </w:p>
        </w:tc>
      </w:tr>
      <w:tr>
        <w:tblPrEx>
          <w:tblCellMar>
            <w:top w:w="0" w:type="dxa"/>
            <w:left w:w="108" w:type="dxa"/>
            <w:bottom w:w="0" w:type="dxa"/>
            <w:right w:w="108" w:type="dxa"/>
          </w:tblCellMar>
        </w:tblPrEx>
        <w:trPr>
          <w:trHeight w:val="402" w:hRule="atLeast"/>
        </w:trPr>
        <w:tc>
          <w:tcPr>
            <w:tcW w:w="9681" w:type="dxa"/>
            <w:gridSpan w:val="14"/>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(2022年度)</w:t>
            </w:r>
          </w:p>
        </w:tc>
      </w:tr>
      <w:tr>
        <w:tblPrEx>
          <w:tblCellMar>
            <w:top w:w="0" w:type="dxa"/>
            <w:left w:w="108" w:type="dxa"/>
            <w:bottom w:w="0" w:type="dxa"/>
            <w:right w:w="108" w:type="dxa"/>
          </w:tblCellMar>
        </w:tblPrEx>
        <w:trPr>
          <w:trHeight w:val="402" w:hRule="atLeast"/>
        </w:trPr>
        <w:tc>
          <w:tcPr>
            <w:tcW w:w="13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352"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机关服务中心财政补助经费</w:t>
            </w:r>
          </w:p>
        </w:tc>
      </w:tr>
      <w:tr>
        <w:tblPrEx>
          <w:tblCellMar>
            <w:top w:w="0" w:type="dxa"/>
            <w:left w:w="108" w:type="dxa"/>
            <w:bottom w:w="0" w:type="dxa"/>
            <w:right w:w="108" w:type="dxa"/>
          </w:tblCellMar>
        </w:tblPrEx>
        <w:trPr>
          <w:trHeight w:val="615" w:hRule="atLeast"/>
        </w:trPr>
        <w:tc>
          <w:tcPr>
            <w:tcW w:w="13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4051"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新疆维吾尔自治区商务厅机关服务中心</w:t>
            </w:r>
          </w:p>
        </w:tc>
        <w:tc>
          <w:tcPr>
            <w:tcW w:w="15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279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新疆维吾尔自治区商务厅机关服务中心</w:t>
            </w:r>
          </w:p>
        </w:tc>
      </w:tr>
      <w:tr>
        <w:tblPrEx>
          <w:tblCellMar>
            <w:top w:w="0" w:type="dxa"/>
            <w:left w:w="108" w:type="dxa"/>
            <w:bottom w:w="0" w:type="dxa"/>
            <w:right w:w="108" w:type="dxa"/>
          </w:tblCellMar>
        </w:tblPrEx>
        <w:trPr>
          <w:trHeight w:val="615" w:hRule="atLeast"/>
        </w:trPr>
        <w:tc>
          <w:tcPr>
            <w:tcW w:w="132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15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4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5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79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402" w:hRule="atLeast"/>
        </w:trPr>
        <w:tc>
          <w:tcPr>
            <w:tcW w:w="132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5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445.00</w:t>
            </w:r>
          </w:p>
        </w:tc>
        <w:tc>
          <w:tcPr>
            <w:tcW w:w="14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445.00</w:t>
            </w:r>
          </w:p>
        </w:tc>
        <w:tc>
          <w:tcPr>
            <w:tcW w:w="15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445.00</w:t>
            </w:r>
          </w:p>
        </w:tc>
        <w:tc>
          <w:tcPr>
            <w:tcW w:w="79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tblPrEx>
          <w:tblCellMar>
            <w:top w:w="0" w:type="dxa"/>
            <w:left w:w="108" w:type="dxa"/>
            <w:bottom w:w="0" w:type="dxa"/>
            <w:right w:w="108" w:type="dxa"/>
          </w:tblCellMar>
        </w:tblPrEx>
        <w:trPr>
          <w:trHeight w:val="645" w:hRule="atLeast"/>
        </w:trPr>
        <w:tc>
          <w:tcPr>
            <w:tcW w:w="132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5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445</w:t>
            </w:r>
          </w:p>
        </w:tc>
        <w:tc>
          <w:tcPr>
            <w:tcW w:w="14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445</w:t>
            </w:r>
          </w:p>
        </w:tc>
        <w:tc>
          <w:tcPr>
            <w:tcW w:w="15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445</w:t>
            </w:r>
          </w:p>
        </w:tc>
        <w:tc>
          <w:tcPr>
            <w:tcW w:w="79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615" w:hRule="atLeast"/>
        </w:trPr>
        <w:tc>
          <w:tcPr>
            <w:tcW w:w="132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5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上年结转资金</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4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402" w:hRule="atLeast"/>
        </w:trPr>
        <w:tc>
          <w:tcPr>
            <w:tcW w:w="132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5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4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402" w:hRule="atLeast"/>
        </w:trPr>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4813"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30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tblPrEx>
          <w:tblCellMar>
            <w:top w:w="0" w:type="dxa"/>
            <w:left w:w="108" w:type="dxa"/>
            <w:bottom w:w="0" w:type="dxa"/>
            <w:right w:w="108" w:type="dxa"/>
          </w:tblCellMar>
        </w:tblPrEx>
        <w:trPr>
          <w:trHeight w:val="1335" w:hRule="atLeast"/>
        </w:trPr>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4813" w:type="dxa"/>
            <w:gridSpan w:val="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保障全年在职人员工资。2、按照预算执行进度安排好商品服务支出。3、按时间按规定缴纳养老保险等。4、确保办公楼正常运行为中心正常开展各项工作提供后勤保障，并严格按照自治区关于贯彻厉行节约、制止奢侈浪费有关规定管好用好资金。</w:t>
            </w:r>
          </w:p>
        </w:tc>
        <w:tc>
          <w:tcPr>
            <w:tcW w:w="4301" w:type="dxa"/>
            <w:gridSpan w:val="7"/>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完成自治区对商务厅机关服务中心正常办公经费支出及44名自收自支事业编制人员的基本工资和各项基本福利待遇；职工养老保险、职业年金和住房公积金等人员经费按要求缴纳。</w:t>
            </w:r>
          </w:p>
        </w:tc>
      </w:tr>
      <w:tr>
        <w:tblPrEx>
          <w:tblCellMar>
            <w:top w:w="0" w:type="dxa"/>
            <w:left w:w="108" w:type="dxa"/>
            <w:bottom w:w="0" w:type="dxa"/>
            <w:right w:w="108" w:type="dxa"/>
          </w:tblCellMar>
        </w:tblPrEx>
        <w:trPr>
          <w:trHeight w:val="402" w:hRule="atLeast"/>
        </w:trPr>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6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8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1922"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2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0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101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82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394"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tblPrEx>
          <w:tblCellMar>
            <w:top w:w="0" w:type="dxa"/>
            <w:left w:w="108" w:type="dxa"/>
            <w:bottom w:w="0" w:type="dxa"/>
            <w:right w:w="108" w:type="dxa"/>
          </w:tblCellMar>
        </w:tblPrEx>
        <w:trPr>
          <w:trHeight w:val="402" w:hRule="atLeast"/>
        </w:trPr>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6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22"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1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8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39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30" w:hRule="atLeast"/>
        </w:trPr>
        <w:tc>
          <w:tcPr>
            <w:tcW w:w="567"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年度绩效指标完成情况</w:t>
            </w:r>
          </w:p>
        </w:tc>
        <w:tc>
          <w:tcPr>
            <w:tcW w:w="76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8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92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指标1：发放人员（补助）人数</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=44人</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44人</w:t>
            </w:r>
          </w:p>
        </w:tc>
        <w:tc>
          <w:tcPr>
            <w:tcW w:w="10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75"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6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92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指标2：发放人员（补助）次数</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=12次</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12次</w:t>
            </w:r>
          </w:p>
        </w:tc>
        <w:tc>
          <w:tcPr>
            <w:tcW w:w="10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5"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6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92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指标1：补助发放准确率</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3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5"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6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92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指标2：年度职工全员在岗率</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&gt;=99%</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10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5"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6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92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指标1：补助经费发放及时率</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10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05"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6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92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指标1：每次发放（补助）资金数</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&lt;=37.08万元</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37.08万元</w:t>
            </w:r>
          </w:p>
        </w:tc>
        <w:tc>
          <w:tcPr>
            <w:tcW w:w="10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3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825"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8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92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指标1：在职职工满意度</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3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6455"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10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13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left"/>
        <w:rPr>
          <w:rFonts w:ascii="黑体" w:hAnsi="黑体" w:eastAsia="黑体"/>
          <w:sz w:val="32"/>
          <w:szCs w:val="32"/>
        </w:rPr>
      </w:pPr>
    </w:p>
    <w:p>
      <w:pPr>
        <w:ind w:firstLine="640" w:firstLineChars="200"/>
        <w:jc w:val="center"/>
        <w:outlineLvl w:val="0"/>
        <w:rPr>
          <w:rFonts w:ascii="黑体" w:hAnsi="黑体" w:eastAsia="黑体"/>
          <w:sz w:val="32"/>
          <w:szCs w:val="32"/>
        </w:rPr>
      </w:pPr>
      <w:r>
        <w:rPr>
          <w:rFonts w:hint="eastAsia" w:ascii="黑体" w:hAnsi="黑体" w:eastAsia="黑体"/>
          <w:sz w:val="32"/>
          <w:szCs w:val="32"/>
        </w:rPr>
        <w:t>第三部分 专业名词解释</w:t>
      </w:r>
      <w:bookmarkEnd w:id="30"/>
      <w:bookmarkEnd w:id="31"/>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pPr>
        <w:ind w:firstLine="640" w:firstLineChars="200"/>
        <w:jc w:val="center"/>
        <w:outlineLvl w:val="0"/>
        <w:rPr>
          <w:rFonts w:ascii="黑体" w:hAnsi="黑体" w:eastAsia="黑体"/>
          <w:sz w:val="32"/>
          <w:szCs w:val="32"/>
        </w:rPr>
      </w:pPr>
      <w:bookmarkStart w:id="32" w:name="_Toc22784"/>
      <w:bookmarkStart w:id="33" w:name="_Toc28903"/>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2"/>
      <w:bookmarkEnd w:id="33"/>
    </w:p>
    <w:p>
      <w:pPr>
        <w:ind w:firstLine="640" w:firstLineChars="200"/>
        <w:outlineLvl w:val="1"/>
        <w:rPr>
          <w:rFonts w:ascii="黑体" w:hAnsi="黑体" w:eastAsia="黑体" w:cs="宋体"/>
          <w:bCs/>
          <w:kern w:val="0"/>
          <w:sz w:val="32"/>
          <w:szCs w:val="32"/>
        </w:rPr>
      </w:pPr>
      <w:bookmarkStart w:id="34" w:name="_Toc6062"/>
      <w:bookmarkStart w:id="35" w:name="_Toc2183"/>
      <w:r>
        <w:rPr>
          <w:rFonts w:hint="eastAsia" w:ascii="黑体" w:hAnsi="黑体" w:eastAsia="黑体" w:cs="宋体"/>
          <w:bCs/>
          <w:kern w:val="0"/>
          <w:sz w:val="32"/>
          <w:szCs w:val="32"/>
        </w:rPr>
        <w:t>一、《收入支出决算总表》</w:t>
      </w:r>
      <w:bookmarkEnd w:id="34"/>
      <w:bookmarkEnd w:id="35"/>
    </w:p>
    <w:p>
      <w:pPr>
        <w:ind w:firstLine="640" w:firstLineChars="200"/>
        <w:outlineLvl w:val="1"/>
        <w:rPr>
          <w:rFonts w:ascii="黑体" w:hAnsi="黑体" w:eastAsia="黑体" w:cs="宋体"/>
          <w:bCs/>
          <w:kern w:val="0"/>
          <w:sz w:val="32"/>
          <w:szCs w:val="32"/>
        </w:rPr>
      </w:pPr>
      <w:bookmarkStart w:id="36" w:name="_Toc24532"/>
      <w:bookmarkStart w:id="37" w:name="_Toc30364"/>
      <w:r>
        <w:rPr>
          <w:rFonts w:hint="eastAsia" w:ascii="黑体" w:hAnsi="黑体" w:eastAsia="黑体" w:cs="宋体"/>
          <w:bCs/>
          <w:kern w:val="0"/>
          <w:sz w:val="32"/>
          <w:szCs w:val="32"/>
        </w:rPr>
        <w:t>二、《收入决算表》</w:t>
      </w:r>
      <w:bookmarkEnd w:id="36"/>
      <w:bookmarkEnd w:id="37"/>
    </w:p>
    <w:p>
      <w:pPr>
        <w:ind w:firstLine="640" w:firstLineChars="200"/>
        <w:outlineLvl w:val="1"/>
        <w:rPr>
          <w:rFonts w:ascii="黑体" w:hAnsi="黑体" w:eastAsia="黑体" w:cs="宋体"/>
          <w:bCs/>
          <w:kern w:val="0"/>
          <w:sz w:val="32"/>
          <w:szCs w:val="32"/>
        </w:rPr>
      </w:pPr>
      <w:bookmarkStart w:id="38" w:name="_Toc32434"/>
      <w:bookmarkStart w:id="39" w:name="_Toc21304"/>
      <w:r>
        <w:rPr>
          <w:rFonts w:hint="eastAsia" w:ascii="黑体" w:hAnsi="黑体" w:eastAsia="黑体" w:cs="宋体"/>
          <w:bCs/>
          <w:kern w:val="0"/>
          <w:sz w:val="32"/>
          <w:szCs w:val="32"/>
        </w:rPr>
        <w:t>三、《支出决算表》</w:t>
      </w:r>
      <w:bookmarkEnd w:id="38"/>
      <w:bookmarkEnd w:id="39"/>
    </w:p>
    <w:p>
      <w:pPr>
        <w:ind w:firstLine="640" w:firstLineChars="200"/>
        <w:outlineLvl w:val="1"/>
        <w:rPr>
          <w:rFonts w:ascii="黑体" w:hAnsi="黑体" w:eastAsia="黑体" w:cs="宋体"/>
          <w:bCs/>
          <w:kern w:val="0"/>
          <w:sz w:val="32"/>
          <w:szCs w:val="32"/>
        </w:rPr>
      </w:pPr>
      <w:bookmarkStart w:id="40" w:name="_Toc28786"/>
      <w:bookmarkStart w:id="41" w:name="_Toc14238"/>
      <w:r>
        <w:rPr>
          <w:rFonts w:hint="eastAsia" w:ascii="黑体" w:hAnsi="黑体" w:eastAsia="黑体" w:cs="宋体"/>
          <w:bCs/>
          <w:kern w:val="0"/>
          <w:sz w:val="32"/>
          <w:szCs w:val="32"/>
        </w:rPr>
        <w:t>四、《财政拨款收入支出决算总表》</w:t>
      </w:r>
      <w:bookmarkEnd w:id="40"/>
      <w:bookmarkEnd w:id="41"/>
    </w:p>
    <w:p>
      <w:pPr>
        <w:ind w:firstLine="640" w:firstLineChars="200"/>
        <w:outlineLvl w:val="1"/>
        <w:rPr>
          <w:rFonts w:ascii="黑体" w:hAnsi="黑体" w:eastAsia="黑体" w:cs="宋体"/>
          <w:bCs/>
          <w:kern w:val="0"/>
          <w:sz w:val="32"/>
          <w:szCs w:val="32"/>
        </w:rPr>
      </w:pPr>
      <w:bookmarkStart w:id="42" w:name="_Toc14869"/>
      <w:bookmarkStart w:id="43" w:name="_Toc10347"/>
      <w:r>
        <w:rPr>
          <w:rFonts w:hint="eastAsia" w:ascii="黑体" w:hAnsi="黑体" w:eastAsia="黑体" w:cs="宋体"/>
          <w:bCs/>
          <w:kern w:val="0"/>
          <w:sz w:val="32"/>
          <w:szCs w:val="32"/>
        </w:rPr>
        <w:t>五、《一般公共预算财政拨款支出决算表》</w:t>
      </w:r>
      <w:bookmarkEnd w:id="42"/>
      <w:bookmarkEnd w:id="43"/>
    </w:p>
    <w:p>
      <w:pPr>
        <w:ind w:firstLine="640" w:firstLineChars="200"/>
        <w:outlineLvl w:val="1"/>
        <w:rPr>
          <w:rFonts w:ascii="黑体" w:hAnsi="黑体" w:eastAsia="黑体" w:cs="宋体"/>
          <w:bCs/>
          <w:kern w:val="0"/>
          <w:sz w:val="32"/>
          <w:szCs w:val="32"/>
        </w:rPr>
      </w:pPr>
      <w:bookmarkStart w:id="44" w:name="_Toc8884"/>
      <w:bookmarkStart w:id="45" w:name="_Toc5626"/>
      <w:r>
        <w:rPr>
          <w:rFonts w:hint="eastAsia" w:ascii="黑体" w:hAnsi="黑体" w:eastAsia="黑体" w:cs="宋体"/>
          <w:bCs/>
          <w:kern w:val="0"/>
          <w:sz w:val="32"/>
          <w:szCs w:val="32"/>
        </w:rPr>
        <w:t>六、《一般公共预算财政拨款基本支出决算表》</w:t>
      </w:r>
      <w:bookmarkEnd w:id="44"/>
      <w:bookmarkEnd w:id="45"/>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七、</w:t>
      </w:r>
      <w:bookmarkStart w:id="46" w:name="_Toc29106"/>
      <w:bookmarkStart w:id="47" w:name="_Toc32663"/>
      <w:r>
        <w:rPr>
          <w:rFonts w:hint="eastAsia" w:ascii="黑体" w:hAnsi="黑体" w:eastAsia="黑体" w:cs="宋体"/>
          <w:bCs/>
          <w:kern w:val="0"/>
          <w:sz w:val="32"/>
          <w:szCs w:val="32"/>
        </w:rPr>
        <w:t>《财政拨款“三公”经费支出决算表》</w:t>
      </w:r>
      <w:bookmarkEnd w:id="46"/>
      <w:bookmarkEnd w:id="47"/>
    </w:p>
    <w:p>
      <w:pPr>
        <w:ind w:firstLine="640" w:firstLineChars="200"/>
        <w:outlineLvl w:val="1"/>
        <w:rPr>
          <w:rFonts w:ascii="黑体" w:hAnsi="黑体" w:eastAsia="黑体" w:cs="宋体"/>
          <w:bCs/>
          <w:kern w:val="0"/>
          <w:sz w:val="32"/>
          <w:szCs w:val="32"/>
        </w:rPr>
      </w:pPr>
      <w:bookmarkStart w:id="48" w:name="_Toc5453"/>
      <w:bookmarkStart w:id="49" w:name="_Toc7643"/>
      <w:r>
        <w:rPr>
          <w:rFonts w:hint="eastAsia" w:ascii="黑体" w:hAnsi="黑体" w:eastAsia="黑体" w:cs="宋体"/>
          <w:bCs/>
          <w:kern w:val="0"/>
          <w:sz w:val="32"/>
          <w:szCs w:val="32"/>
        </w:rPr>
        <w:t>八、《政府性基金预算财政拨款收入支出决算表》</w:t>
      </w:r>
      <w:bookmarkEnd w:id="48"/>
      <w:bookmarkEnd w:id="49"/>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pPr>
        <w:ind w:firstLine="640" w:firstLineChars="200"/>
        <w:outlineLvl w:val="1"/>
        <w:rPr>
          <w:rFonts w:ascii="黑体" w:hAnsi="黑体" w:eastAsia="黑体" w:cs="宋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Yzk0YzA4ZjRjODNlZDgwMmQzYTBhNGFhMjA2OTkifQ=="/>
  </w:docVars>
  <w:rsids>
    <w:rsidRoot w:val="00312C27"/>
    <w:rsid w:val="00012F23"/>
    <w:rsid w:val="00021E76"/>
    <w:rsid w:val="000229DC"/>
    <w:rsid w:val="0002765D"/>
    <w:rsid w:val="0003297B"/>
    <w:rsid w:val="000379B3"/>
    <w:rsid w:val="0005626F"/>
    <w:rsid w:val="000724E7"/>
    <w:rsid w:val="00073996"/>
    <w:rsid w:val="0008509D"/>
    <w:rsid w:val="00090520"/>
    <w:rsid w:val="000A0B31"/>
    <w:rsid w:val="000D2344"/>
    <w:rsid w:val="000D267C"/>
    <w:rsid w:val="000E7B17"/>
    <w:rsid w:val="00135BB7"/>
    <w:rsid w:val="0016194B"/>
    <w:rsid w:val="001762A3"/>
    <w:rsid w:val="00185C9C"/>
    <w:rsid w:val="001B0BD1"/>
    <w:rsid w:val="001B147B"/>
    <w:rsid w:val="001C3354"/>
    <w:rsid w:val="00215836"/>
    <w:rsid w:val="00215BD1"/>
    <w:rsid w:val="00221441"/>
    <w:rsid w:val="00224B57"/>
    <w:rsid w:val="002259E8"/>
    <w:rsid w:val="002275D5"/>
    <w:rsid w:val="00235C0B"/>
    <w:rsid w:val="00240AA1"/>
    <w:rsid w:val="00263A81"/>
    <w:rsid w:val="00271C68"/>
    <w:rsid w:val="00294495"/>
    <w:rsid w:val="0029483B"/>
    <w:rsid w:val="002A2698"/>
    <w:rsid w:val="002B6C9C"/>
    <w:rsid w:val="002D1584"/>
    <w:rsid w:val="00312C27"/>
    <w:rsid w:val="00352E78"/>
    <w:rsid w:val="00366326"/>
    <w:rsid w:val="003938C8"/>
    <w:rsid w:val="003A21C7"/>
    <w:rsid w:val="003B1B1F"/>
    <w:rsid w:val="003C2E0F"/>
    <w:rsid w:val="003D686F"/>
    <w:rsid w:val="003F04B0"/>
    <w:rsid w:val="003F1325"/>
    <w:rsid w:val="003F3219"/>
    <w:rsid w:val="00411B2D"/>
    <w:rsid w:val="00435C19"/>
    <w:rsid w:val="00436039"/>
    <w:rsid w:val="00460D47"/>
    <w:rsid w:val="00484954"/>
    <w:rsid w:val="004941A4"/>
    <w:rsid w:val="004A0689"/>
    <w:rsid w:val="004C2483"/>
    <w:rsid w:val="004C3288"/>
    <w:rsid w:val="004C4A14"/>
    <w:rsid w:val="004C6A74"/>
    <w:rsid w:val="004D41E0"/>
    <w:rsid w:val="0050663B"/>
    <w:rsid w:val="00517943"/>
    <w:rsid w:val="00531043"/>
    <w:rsid w:val="00531F92"/>
    <w:rsid w:val="00556D35"/>
    <w:rsid w:val="00557718"/>
    <w:rsid w:val="00561710"/>
    <w:rsid w:val="00571ACE"/>
    <w:rsid w:val="00572CBD"/>
    <w:rsid w:val="0058075D"/>
    <w:rsid w:val="005A07B6"/>
    <w:rsid w:val="005A161C"/>
    <w:rsid w:val="005B643B"/>
    <w:rsid w:val="005C3DEB"/>
    <w:rsid w:val="005D0AD9"/>
    <w:rsid w:val="005D1C2D"/>
    <w:rsid w:val="005E3B4A"/>
    <w:rsid w:val="0060159A"/>
    <w:rsid w:val="00617115"/>
    <w:rsid w:val="00626A93"/>
    <w:rsid w:val="00656E06"/>
    <w:rsid w:val="00665BE8"/>
    <w:rsid w:val="00680772"/>
    <w:rsid w:val="006B52D5"/>
    <w:rsid w:val="006C27D5"/>
    <w:rsid w:val="006C2D78"/>
    <w:rsid w:val="006D1EE8"/>
    <w:rsid w:val="006E797E"/>
    <w:rsid w:val="006F4050"/>
    <w:rsid w:val="006F66CC"/>
    <w:rsid w:val="0071348F"/>
    <w:rsid w:val="00752DF5"/>
    <w:rsid w:val="00753B65"/>
    <w:rsid w:val="00760DE7"/>
    <w:rsid w:val="007649BA"/>
    <w:rsid w:val="00795241"/>
    <w:rsid w:val="007A247A"/>
    <w:rsid w:val="007A31DF"/>
    <w:rsid w:val="007B559C"/>
    <w:rsid w:val="007D31C5"/>
    <w:rsid w:val="007E0AAA"/>
    <w:rsid w:val="007E2227"/>
    <w:rsid w:val="007F2258"/>
    <w:rsid w:val="00806804"/>
    <w:rsid w:val="0081064F"/>
    <w:rsid w:val="0084474D"/>
    <w:rsid w:val="0089722A"/>
    <w:rsid w:val="008A0B2C"/>
    <w:rsid w:val="008A44AF"/>
    <w:rsid w:val="008B33C8"/>
    <w:rsid w:val="008D0631"/>
    <w:rsid w:val="00905908"/>
    <w:rsid w:val="00914C96"/>
    <w:rsid w:val="00926C84"/>
    <w:rsid w:val="00927CCC"/>
    <w:rsid w:val="00934B7F"/>
    <w:rsid w:val="00955F5A"/>
    <w:rsid w:val="00986787"/>
    <w:rsid w:val="009E21D9"/>
    <w:rsid w:val="00A22AE4"/>
    <w:rsid w:val="00A347A6"/>
    <w:rsid w:val="00A3556A"/>
    <w:rsid w:val="00A6124D"/>
    <w:rsid w:val="00A636E4"/>
    <w:rsid w:val="00A87103"/>
    <w:rsid w:val="00AB776D"/>
    <w:rsid w:val="00AE0D8D"/>
    <w:rsid w:val="00AE1570"/>
    <w:rsid w:val="00B03B50"/>
    <w:rsid w:val="00B33BF0"/>
    <w:rsid w:val="00B35A42"/>
    <w:rsid w:val="00B4517D"/>
    <w:rsid w:val="00B92C80"/>
    <w:rsid w:val="00BA3B30"/>
    <w:rsid w:val="00BC6347"/>
    <w:rsid w:val="00BC69BD"/>
    <w:rsid w:val="00BD3218"/>
    <w:rsid w:val="00BD5200"/>
    <w:rsid w:val="00BE4763"/>
    <w:rsid w:val="00BF7AA6"/>
    <w:rsid w:val="00C0408D"/>
    <w:rsid w:val="00C23286"/>
    <w:rsid w:val="00C25C01"/>
    <w:rsid w:val="00C37871"/>
    <w:rsid w:val="00C65103"/>
    <w:rsid w:val="00C66483"/>
    <w:rsid w:val="00C72285"/>
    <w:rsid w:val="00C77B7E"/>
    <w:rsid w:val="00C90C12"/>
    <w:rsid w:val="00CA6634"/>
    <w:rsid w:val="00CB036E"/>
    <w:rsid w:val="00CD3225"/>
    <w:rsid w:val="00CF5B51"/>
    <w:rsid w:val="00CF7E34"/>
    <w:rsid w:val="00D020FB"/>
    <w:rsid w:val="00D41FF8"/>
    <w:rsid w:val="00D6267B"/>
    <w:rsid w:val="00D64C5E"/>
    <w:rsid w:val="00D66A40"/>
    <w:rsid w:val="00D76208"/>
    <w:rsid w:val="00D8609B"/>
    <w:rsid w:val="00DA3B1B"/>
    <w:rsid w:val="00DA7EA9"/>
    <w:rsid w:val="00DF2FD8"/>
    <w:rsid w:val="00E04D53"/>
    <w:rsid w:val="00E2268A"/>
    <w:rsid w:val="00E25E17"/>
    <w:rsid w:val="00E3623A"/>
    <w:rsid w:val="00E45222"/>
    <w:rsid w:val="00EB34D7"/>
    <w:rsid w:val="00EB57C9"/>
    <w:rsid w:val="00EC60C6"/>
    <w:rsid w:val="00EE4EA5"/>
    <w:rsid w:val="00EE6071"/>
    <w:rsid w:val="00F0691A"/>
    <w:rsid w:val="00F20986"/>
    <w:rsid w:val="00F20EB6"/>
    <w:rsid w:val="00F216E3"/>
    <w:rsid w:val="00F26856"/>
    <w:rsid w:val="00F30DDE"/>
    <w:rsid w:val="00F53C2D"/>
    <w:rsid w:val="00F66B7F"/>
    <w:rsid w:val="00F7210D"/>
    <w:rsid w:val="00F8314A"/>
    <w:rsid w:val="00F91E81"/>
    <w:rsid w:val="00F95054"/>
    <w:rsid w:val="00FC4625"/>
    <w:rsid w:val="00FF6A37"/>
    <w:rsid w:val="034D4FEF"/>
    <w:rsid w:val="043E5B56"/>
    <w:rsid w:val="06792773"/>
    <w:rsid w:val="0A7B4867"/>
    <w:rsid w:val="0AE83DE6"/>
    <w:rsid w:val="0B8C3ECC"/>
    <w:rsid w:val="0BBA0A81"/>
    <w:rsid w:val="0C4D2DB3"/>
    <w:rsid w:val="0C7227A7"/>
    <w:rsid w:val="0F3317C1"/>
    <w:rsid w:val="12386E6F"/>
    <w:rsid w:val="14155180"/>
    <w:rsid w:val="15F06E99"/>
    <w:rsid w:val="1C7A04C1"/>
    <w:rsid w:val="1DAF458D"/>
    <w:rsid w:val="20DD6197"/>
    <w:rsid w:val="21A91B81"/>
    <w:rsid w:val="222A65E3"/>
    <w:rsid w:val="23BC04D2"/>
    <w:rsid w:val="23FB0802"/>
    <w:rsid w:val="277F0ACA"/>
    <w:rsid w:val="27CF2642"/>
    <w:rsid w:val="2A053397"/>
    <w:rsid w:val="2D1136DF"/>
    <w:rsid w:val="2DD47676"/>
    <w:rsid w:val="2E743C6A"/>
    <w:rsid w:val="2F916B46"/>
    <w:rsid w:val="2FD27414"/>
    <w:rsid w:val="2FD45ADE"/>
    <w:rsid w:val="31C63837"/>
    <w:rsid w:val="35FB19DD"/>
    <w:rsid w:val="3914510A"/>
    <w:rsid w:val="3B12207E"/>
    <w:rsid w:val="3B3C07D5"/>
    <w:rsid w:val="3D2A665C"/>
    <w:rsid w:val="3D5275AC"/>
    <w:rsid w:val="40834692"/>
    <w:rsid w:val="41A84A67"/>
    <w:rsid w:val="448437A4"/>
    <w:rsid w:val="44F4368F"/>
    <w:rsid w:val="454126C2"/>
    <w:rsid w:val="45E16709"/>
    <w:rsid w:val="46901EEE"/>
    <w:rsid w:val="469C74D2"/>
    <w:rsid w:val="47A53BB1"/>
    <w:rsid w:val="49B933AA"/>
    <w:rsid w:val="4A6B0F8B"/>
    <w:rsid w:val="4B4C0111"/>
    <w:rsid w:val="50DB5F45"/>
    <w:rsid w:val="52F92565"/>
    <w:rsid w:val="55CE6BE9"/>
    <w:rsid w:val="57E43B01"/>
    <w:rsid w:val="583059FA"/>
    <w:rsid w:val="59AD019E"/>
    <w:rsid w:val="5ABB586A"/>
    <w:rsid w:val="5FA17648"/>
    <w:rsid w:val="61A46A97"/>
    <w:rsid w:val="62DD7D21"/>
    <w:rsid w:val="65D97752"/>
    <w:rsid w:val="68DB0208"/>
    <w:rsid w:val="69AD798C"/>
    <w:rsid w:val="6B68175F"/>
    <w:rsid w:val="6E0F7A08"/>
    <w:rsid w:val="71473612"/>
    <w:rsid w:val="718F7F65"/>
    <w:rsid w:val="73F7554E"/>
    <w:rsid w:val="73FB6630"/>
    <w:rsid w:val="74E76DCD"/>
    <w:rsid w:val="77ED6F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annotation reference"/>
    <w:basedOn w:val="10"/>
    <w:qFormat/>
    <w:uiPriority w:val="0"/>
    <w:rPr>
      <w:sz w:val="21"/>
      <w:szCs w:val="21"/>
    </w:rPr>
  </w:style>
  <w:style w:type="paragraph" w:customStyle="1" w:styleId="12">
    <w:name w:val="WPSOffice手动目录 3"/>
    <w:qFormat/>
    <w:uiPriority w:val="0"/>
    <w:pPr>
      <w:ind w:left="400" w:leftChars="400"/>
    </w:pPr>
    <w:rPr>
      <w:rFonts w:ascii="Times New Roman" w:hAnsi="Times New Roman" w:eastAsia="宋体" w:cs="Times New Roman"/>
      <w:lang w:val="en-US" w:eastAsia="zh-CN" w:bidi="ug-CN"/>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ug-CN"/>
    </w:rPr>
  </w:style>
  <w:style w:type="paragraph" w:customStyle="1" w:styleId="14">
    <w:name w:val="WPSOffice手动目录 1"/>
    <w:qFormat/>
    <w:uiPriority w:val="0"/>
    <w:rPr>
      <w:rFonts w:ascii="Times New Roman" w:hAnsi="Times New Roman" w:eastAsia="宋体" w:cs="Times New Roman"/>
      <w:lang w:val="en-US" w:eastAsia="zh-CN" w:bidi="ug-CN"/>
    </w:rPr>
  </w:style>
  <w:style w:type="character" w:customStyle="1" w:styleId="15">
    <w:name w:val="批注框文本 Char"/>
    <w:basedOn w:val="10"/>
    <w:link w:val="4"/>
    <w:qFormat/>
    <w:uiPriority w:val="0"/>
    <w:rPr>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16</Pages>
  <Words>5667</Words>
  <Characters>6443</Characters>
  <Lines>53</Lines>
  <Paragraphs>15</Paragraphs>
  <TotalTime>2</TotalTime>
  <ScaleCrop>false</ScaleCrop>
  <LinksUpToDate>false</LinksUpToDate>
  <CharactersWithSpaces>6475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2024-01-09T10:15:35Z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450F969ACD1B426EA23123C3601580AE_13</vt:lpwstr>
  </property>
</Properties>
</file>