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36B3E7">
      <w:pPr>
        <w:spacing w:after="0" w:line="240" w:lineRule="auto"/>
        <w:rPr>
          <w:rFonts w:ascii="宋体" w:eastAsia="宋体"/>
          <w:sz w:val="32"/>
          <w:szCs w:val="32"/>
        </w:rPr>
      </w:pPr>
    </w:p>
    <w:p w14:paraId="03BD404F">
      <w:pPr>
        <w:spacing w:after="0" w:line="240" w:lineRule="auto"/>
        <w:rPr>
          <w:rFonts w:ascii="宋体" w:eastAsia="宋体"/>
          <w:sz w:val="44"/>
          <w:szCs w:val="44"/>
        </w:rPr>
      </w:pPr>
    </w:p>
    <w:p w14:paraId="0AD1D921">
      <w:pPr>
        <w:spacing w:after="0" w:line="240" w:lineRule="auto"/>
        <w:rPr>
          <w:rFonts w:ascii="宋体" w:eastAsia="宋体"/>
          <w:sz w:val="44"/>
          <w:szCs w:val="44"/>
        </w:rPr>
      </w:pPr>
    </w:p>
    <w:p w14:paraId="262F53CC">
      <w:pPr>
        <w:spacing w:after="0" w:line="240" w:lineRule="auto"/>
        <w:rPr>
          <w:rFonts w:ascii="宋体" w:eastAsia="宋体"/>
          <w:sz w:val="44"/>
          <w:szCs w:val="44"/>
        </w:rPr>
      </w:pPr>
    </w:p>
    <w:p w14:paraId="1913DA7D">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Times New Roman" w:hAnsi="Times New Roman" w:eastAsia="方正小标宋_GBK" w:cs="Times New Roman"/>
          <w:kern w:val="2"/>
          <w:sz w:val="44"/>
          <w:szCs w:val="44"/>
          <w:highlight w:val="none"/>
          <w:lang w:eastAsia="zh-CN"/>
        </w:rPr>
      </w:pPr>
      <w:r>
        <w:rPr>
          <w:rFonts w:hint="eastAsia" w:ascii="Times New Roman" w:hAnsi="Times New Roman" w:eastAsia="方正小标宋_GBK" w:cs="Times New Roman"/>
          <w:kern w:val="2"/>
          <w:sz w:val="44"/>
          <w:szCs w:val="44"/>
          <w:highlight w:val="none"/>
          <w:lang w:eastAsia="zh-CN"/>
        </w:rPr>
        <w:t>新疆维吾尔自治区口岸发展促进中心</w:t>
      </w:r>
    </w:p>
    <w:p w14:paraId="3C7DC44C">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Times New Roman" w:hAnsi="Times New Roman" w:eastAsia="方正小标宋_GBK" w:cs="Times New Roman"/>
          <w:kern w:val="2"/>
          <w:sz w:val="44"/>
          <w:szCs w:val="44"/>
          <w:highlight w:val="none"/>
          <w:lang w:eastAsia="zh-CN"/>
        </w:rPr>
      </w:pPr>
      <w:r>
        <w:rPr>
          <w:rFonts w:hint="eastAsia" w:ascii="Times New Roman" w:hAnsi="Times New Roman" w:eastAsia="方正小标宋_GBK" w:cs="Times New Roman"/>
          <w:kern w:val="2"/>
          <w:sz w:val="44"/>
          <w:szCs w:val="44"/>
          <w:highlight w:val="none"/>
          <w:lang w:eastAsia="zh-CN"/>
        </w:rPr>
        <w:t>2024年度部门决算公开说明</w:t>
      </w:r>
    </w:p>
    <w:p w14:paraId="73AFE3D8">
      <w:pPr>
        <w:keepNext w:val="0"/>
        <w:keepLines w:val="0"/>
        <w:pageBreakBefore w:val="0"/>
        <w:widowControl w:val="0"/>
        <w:kinsoku/>
        <w:wordWrap/>
        <w:overflowPunct/>
        <w:topLinePunct w:val="0"/>
        <w:bidi w:val="0"/>
        <w:adjustRightInd/>
        <w:snapToGrid/>
        <w:spacing w:after="0" w:line="240" w:lineRule="auto"/>
        <w:jc w:val="center"/>
        <w:textAlignment w:val="auto"/>
        <w:rPr>
          <w:rFonts w:hint="eastAsia" w:ascii="Times New Roman" w:hAnsi="Times New Roman" w:eastAsia="方正小标宋_GBK" w:cs="Times New Roman"/>
          <w:kern w:val="2"/>
          <w:sz w:val="44"/>
          <w:szCs w:val="44"/>
          <w:highlight w:val="none"/>
          <w:lang w:eastAsia="zh-CN"/>
        </w:rPr>
      </w:pPr>
      <w:r>
        <w:rPr>
          <w:rFonts w:hint="eastAsia" w:ascii="Times New Roman" w:hAnsi="Times New Roman" w:eastAsia="方正小标宋_GBK" w:cs="Times New Roman"/>
          <w:kern w:val="2"/>
          <w:sz w:val="44"/>
          <w:szCs w:val="44"/>
          <w:highlight w:val="none"/>
          <w:lang w:eastAsia="zh-CN"/>
        </w:rPr>
        <w:br w:type="page"/>
      </w:r>
    </w:p>
    <w:p w14:paraId="393CD16F">
      <w:pPr>
        <w:keepNext w:val="0"/>
        <w:keepLines w:val="0"/>
        <w:pageBreakBefore w:val="0"/>
        <w:widowControl w:val="0"/>
        <w:kinsoku/>
        <w:wordWrap/>
        <w:overflowPunct/>
        <w:topLinePunct w:val="0"/>
        <w:autoSpaceDE/>
        <w:autoSpaceDN/>
        <w:bidi w:val="0"/>
        <w:adjustRightInd/>
        <w:snapToGrid/>
        <w:spacing w:after="0" w:line="560" w:lineRule="exact"/>
        <w:ind w:left="0" w:leftChars="0"/>
        <w:jc w:val="center"/>
        <w:textAlignment w:val="auto"/>
        <w:rPr>
          <w:rFonts w:hint="eastAsia" w:ascii="仿宋_GB2312" w:hAnsi="仿宋_GB2312" w:eastAsia="仿宋_GB2312" w:cs="仿宋_GB2312"/>
          <w:b/>
          <w:bCs w:val="0"/>
          <w:kern w:val="0"/>
          <w:sz w:val="36"/>
          <w:szCs w:val="36"/>
          <w:highlight w:val="none"/>
          <w:lang w:eastAsia="zh-CN"/>
        </w:rPr>
      </w:pPr>
      <w:r>
        <w:rPr>
          <w:rFonts w:hint="eastAsia" w:ascii="仿宋_GB2312" w:hAnsi="仿宋_GB2312" w:eastAsia="仿宋_GB2312" w:cs="仿宋_GB2312"/>
          <w:b/>
          <w:bCs w:val="0"/>
          <w:kern w:val="0"/>
          <w:sz w:val="36"/>
          <w:szCs w:val="36"/>
          <w:highlight w:val="none"/>
          <w:lang w:eastAsia="zh-CN"/>
        </w:rPr>
        <w:t>目</w:t>
      </w:r>
      <w:r>
        <w:rPr>
          <w:rFonts w:hint="eastAsia" w:ascii="仿宋_GB2312" w:hAnsi="仿宋_GB2312" w:eastAsia="仿宋_GB2312" w:cs="仿宋_GB2312"/>
          <w:b/>
          <w:bCs w:val="0"/>
          <w:kern w:val="0"/>
          <w:sz w:val="36"/>
          <w:szCs w:val="36"/>
          <w:highlight w:val="none"/>
        </w:rPr>
        <w:t xml:space="preserve">  </w:t>
      </w:r>
      <w:r>
        <w:rPr>
          <w:rFonts w:hint="eastAsia" w:ascii="仿宋_GB2312" w:hAnsi="仿宋_GB2312" w:eastAsia="仿宋_GB2312" w:cs="仿宋_GB2312"/>
          <w:b/>
          <w:bCs w:val="0"/>
          <w:kern w:val="0"/>
          <w:sz w:val="36"/>
          <w:szCs w:val="36"/>
          <w:highlight w:val="none"/>
          <w:lang w:eastAsia="zh-CN"/>
        </w:rPr>
        <w:t>录</w:t>
      </w:r>
    </w:p>
    <w:p w14:paraId="21285D0E">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hint="eastAsia" w:ascii="仿宋_GB2312" w:hAnsi="仿宋_GB2312" w:eastAsia="仿宋_GB2312" w:cs="仿宋_GB2312"/>
          <w:b/>
          <w:bCs/>
          <w:kern w:val="2"/>
          <w:sz w:val="32"/>
          <w:szCs w:val="32"/>
          <w:highlight w:val="none"/>
          <w:lang w:val="en-US" w:eastAsia="zh-CN" w:bidi="ar-SA"/>
        </w:rPr>
      </w:pPr>
      <w:r>
        <w:rPr>
          <w:rFonts w:hint="eastAsia" w:ascii="仿宋_GB2312" w:hAnsi="仿宋_GB2312" w:eastAsia="仿宋_GB2312" w:cs="仿宋_GB2312"/>
          <w:b/>
          <w:bCs/>
          <w:kern w:val="2"/>
          <w:sz w:val="32"/>
          <w:szCs w:val="32"/>
          <w:highlight w:val="none"/>
          <w:lang w:val="en-US" w:eastAsia="zh-CN" w:bidi="ar-SA"/>
        </w:rPr>
        <w:t>第一部分 单位概况</w:t>
      </w:r>
    </w:p>
    <w:p w14:paraId="1905A97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一、主要职能</w:t>
      </w:r>
    </w:p>
    <w:p w14:paraId="58377E3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二、机构设置及人员情况</w:t>
      </w:r>
    </w:p>
    <w:p w14:paraId="0D974168">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ascii="Times New Roman" w:hAnsi="Times New Roman" w:eastAsia="仿宋_GB2312"/>
          <w:sz w:val="32"/>
          <w:szCs w:val="32"/>
          <w:lang w:eastAsia="zh-CN"/>
        </w:rPr>
      </w:pPr>
      <w:r>
        <w:rPr>
          <w:rFonts w:ascii="Times New Roman" w:hAnsi="Times New Roman" w:eastAsia="仿宋_GB2312"/>
          <w:b/>
          <w:sz w:val="32"/>
          <w:szCs w:val="32"/>
          <w:lang w:eastAsia="zh-CN"/>
        </w:rPr>
        <w:t>第二部分</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lang w:eastAsia="zh-CN"/>
        </w:rPr>
        <w:t>部门决算情况说明</w:t>
      </w:r>
    </w:p>
    <w:p w14:paraId="46A2625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一、收入支出决算总体情况说明</w:t>
      </w:r>
    </w:p>
    <w:p w14:paraId="5B44E49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二、收入决算情况说明</w:t>
      </w:r>
    </w:p>
    <w:p w14:paraId="40B047E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三、支出决算情况说明</w:t>
      </w:r>
    </w:p>
    <w:p w14:paraId="7052443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四、财政拨款收入支出决算总体情况说明</w:t>
      </w:r>
    </w:p>
    <w:p w14:paraId="3C7837F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五、一般公共预算财政拨款支出决算情况说明</w:t>
      </w:r>
    </w:p>
    <w:p w14:paraId="72AFD3E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（一）一般公共预算财政拨款支出决算总体情况</w:t>
      </w:r>
    </w:p>
    <w:p w14:paraId="65DEE3B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（二）一般公共预算财政拨款支出决算结构情况</w:t>
      </w:r>
    </w:p>
    <w:p w14:paraId="1B3AA98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（三）一般公共预算财政拨款支出决算具体情况</w:t>
      </w:r>
    </w:p>
    <w:p w14:paraId="013CF89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六、一般公共预算财政拨款基本支出决算情况说明</w:t>
      </w:r>
    </w:p>
    <w:p w14:paraId="634197F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七、政府性基金预算财政拨款收入支出决算情况说明</w:t>
      </w:r>
    </w:p>
    <w:p w14:paraId="6142312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八、国有资本经营预算财政拨款收入支出决算情况说明</w:t>
      </w:r>
    </w:p>
    <w:p w14:paraId="30E9FAA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九、财政拨款“三公”经费支出决算情况说明</w:t>
      </w:r>
    </w:p>
    <w:p w14:paraId="7A4CA61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十、其他重要事项的情况说明</w:t>
      </w:r>
    </w:p>
    <w:p w14:paraId="7B5B158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（一）机关运行经费及公用经费支出情况</w:t>
      </w:r>
    </w:p>
    <w:p w14:paraId="64D1A83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（二）政府采购情况</w:t>
      </w:r>
    </w:p>
    <w:p w14:paraId="2439E88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（三）国有资产占用情况说明</w:t>
      </w:r>
    </w:p>
    <w:p w14:paraId="16D3359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十一、预算绩效的情况说明</w:t>
      </w:r>
    </w:p>
    <w:p w14:paraId="59DFE43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十二、其他需说明的事项</w:t>
      </w:r>
    </w:p>
    <w:p w14:paraId="63BD3FBD">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ascii="Times New Roman" w:hAnsi="Times New Roman" w:eastAsia="仿宋_GB2312"/>
          <w:sz w:val="32"/>
          <w:szCs w:val="32"/>
          <w:lang w:eastAsia="zh-CN"/>
        </w:rPr>
      </w:pPr>
      <w:r>
        <w:rPr>
          <w:rFonts w:ascii="Times New Roman" w:hAnsi="Times New Roman" w:eastAsia="仿宋_GB2312"/>
          <w:b/>
          <w:sz w:val="32"/>
          <w:szCs w:val="32"/>
          <w:lang w:eastAsia="zh-CN"/>
        </w:rPr>
        <w:t>第三部分</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lang w:eastAsia="zh-CN"/>
        </w:rPr>
        <w:t>专业名词解释</w:t>
      </w:r>
    </w:p>
    <w:p w14:paraId="3BA829DB">
      <w:pPr>
        <w:keepNext w:val="0"/>
        <w:keepLines w:val="0"/>
        <w:pageBreakBefore w:val="0"/>
        <w:widowControl/>
        <w:kinsoku/>
        <w:wordWrap/>
        <w:overflowPunct/>
        <w:topLinePunct w:val="0"/>
        <w:autoSpaceDE/>
        <w:autoSpaceDN/>
        <w:bidi w:val="0"/>
        <w:adjustRightInd/>
        <w:snapToGrid/>
        <w:spacing w:after="0" w:line="560" w:lineRule="exact"/>
        <w:ind w:left="0" w:leftChars="0" w:firstLine="643" w:firstLineChars="200"/>
        <w:jc w:val="both"/>
        <w:textAlignment w:val="auto"/>
        <w:rPr>
          <w:rFonts w:ascii="Times New Roman" w:hAnsi="Times New Roman" w:eastAsia="仿宋_GB2312"/>
          <w:sz w:val="32"/>
          <w:szCs w:val="32"/>
          <w:lang w:eastAsia="zh-CN"/>
        </w:rPr>
      </w:pPr>
      <w:r>
        <w:rPr>
          <w:rFonts w:ascii="Times New Roman" w:hAnsi="Times New Roman" w:eastAsia="仿宋_GB2312"/>
          <w:b/>
          <w:sz w:val="32"/>
          <w:szCs w:val="32"/>
          <w:lang w:eastAsia="zh-CN"/>
        </w:rPr>
        <w:t>第四部分</w:t>
      </w:r>
      <w:r>
        <w:rPr>
          <w:rFonts w:hint="eastAsia" w:ascii="Times New Roman" w:hAnsi="Times New Roman" w:eastAsia="仿宋_GB2312"/>
          <w:b/>
          <w:sz w:val="32"/>
          <w:szCs w:val="32"/>
          <w:lang w:val="en-US" w:eastAsia="zh-CN"/>
        </w:rPr>
        <w:t xml:space="preserve"> </w:t>
      </w:r>
      <w:r>
        <w:rPr>
          <w:rFonts w:ascii="Times New Roman" w:hAnsi="Times New Roman" w:eastAsia="仿宋_GB2312"/>
          <w:b/>
          <w:sz w:val="32"/>
          <w:szCs w:val="32"/>
          <w:lang w:eastAsia="zh-CN"/>
        </w:rPr>
        <w:t>部门决算报表（见附表）</w:t>
      </w:r>
    </w:p>
    <w:p w14:paraId="3E99963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一、《收入支出决算总表》</w:t>
      </w:r>
    </w:p>
    <w:p w14:paraId="708EE4E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二、《收入决算表》</w:t>
      </w:r>
    </w:p>
    <w:p w14:paraId="4B4D913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三、《支出决算表》</w:t>
      </w:r>
    </w:p>
    <w:p w14:paraId="38E3A57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四、《财政拨款收入支出决算总表》</w:t>
      </w:r>
    </w:p>
    <w:p w14:paraId="6CA0936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五、《一般公共预算财政拨款支出决算表》</w:t>
      </w:r>
    </w:p>
    <w:p w14:paraId="5034F05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六、《一般公共预算财政拨款基本支出决算表》</w:t>
      </w:r>
    </w:p>
    <w:p w14:paraId="380B595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七、《政府性基金预算财政拨款收入支出决算表》</w:t>
      </w:r>
    </w:p>
    <w:p w14:paraId="0D6DF8E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八、《国有资本经营预算财政拨款收入支出决算表》</w:t>
      </w:r>
    </w:p>
    <w:p w14:paraId="38BF6D5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sz w:val="32"/>
          <w:szCs w:val="32"/>
          <w:lang w:eastAsia="zh-CN"/>
        </w:rPr>
      </w:pPr>
      <w:r>
        <w:rPr>
          <w:rFonts w:ascii="Times New Roman" w:hAnsi="Times New Roman" w:eastAsia="仿宋_GB2312"/>
          <w:sz w:val="32"/>
          <w:szCs w:val="32"/>
          <w:lang w:eastAsia="zh-CN"/>
        </w:rPr>
        <w:t>九、《财政拨款“三公”经费支出决算表》</w:t>
      </w:r>
    </w:p>
    <w:p w14:paraId="3E913B78">
      <w:pPr>
        <w:keepNext w:val="0"/>
        <w:keepLines w:val="0"/>
        <w:pageBreakBefore w:val="0"/>
        <w:widowControl/>
        <w:kinsoku/>
        <w:wordWrap/>
        <w:overflowPunct/>
        <w:topLinePunct w:val="0"/>
        <w:autoSpaceDE/>
        <w:autoSpaceDN/>
        <w:bidi w:val="0"/>
        <w:adjustRightInd/>
        <w:snapToGrid/>
        <w:spacing w:line="560" w:lineRule="exact"/>
        <w:ind w:left="440" w:leftChars="200"/>
        <w:jc w:val="both"/>
        <w:textAlignment w:val="auto"/>
        <w:rPr>
          <w:rFonts w:ascii="Times New Roman" w:hAnsi="Times New Roman"/>
          <w:lang w:eastAsia="zh-CN"/>
        </w:rPr>
      </w:pPr>
      <w:r>
        <w:rPr>
          <w:rFonts w:ascii="Times New Roman" w:hAnsi="Times New Roman"/>
          <w:sz w:val="0"/>
          <w:szCs w:val="0"/>
          <w:lang w:eastAsia="zh-CN"/>
        </w:rPr>
        <w:br w:type="page"/>
      </w:r>
    </w:p>
    <w:p w14:paraId="37A52A92">
      <w:pPr>
        <w:keepNext w:val="0"/>
        <w:keepLines w:val="0"/>
        <w:pageBreakBefore w:val="0"/>
        <w:widowControl/>
        <w:kinsoku/>
        <w:wordWrap/>
        <w:overflowPunct/>
        <w:topLinePunct w:val="0"/>
        <w:autoSpaceDE/>
        <w:autoSpaceDN/>
        <w:bidi w:val="0"/>
        <w:adjustRightInd/>
        <w:snapToGrid/>
        <w:spacing w:after="0" w:line="560" w:lineRule="exact"/>
        <w:ind w:left="440" w:leftChars="200"/>
        <w:jc w:val="center"/>
        <w:textAlignment w:val="auto"/>
        <w:outlineLvl w:val="0"/>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第一部分</w:t>
      </w:r>
      <w:r>
        <w:rPr>
          <w:rFonts w:hint="eastAsia"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单位概况</w:t>
      </w:r>
    </w:p>
    <w:p w14:paraId="374CB08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一、主要职能</w:t>
      </w:r>
    </w:p>
    <w:p w14:paraId="3CC6B5F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eastAsia" w:ascii="Times New Roman" w:hAnsi="Times New Roman" w:eastAsia="仿宋_GB2312"/>
          <w:b w:val="0"/>
          <w:bCs w:val="0"/>
          <w:sz w:val="32"/>
          <w:szCs w:val="32"/>
          <w:lang w:eastAsia="zh-CN"/>
        </w:rPr>
        <w:t>新疆维吾尔自治区口岸发展促进中心</w:t>
      </w:r>
      <w:r>
        <w:rPr>
          <w:rFonts w:ascii="Times New Roman" w:hAnsi="Times New Roman" w:eastAsia="仿宋_GB2312"/>
          <w:b w:val="0"/>
          <w:bCs w:val="0"/>
          <w:sz w:val="32"/>
          <w:szCs w:val="32"/>
          <w:lang w:eastAsia="zh-CN"/>
        </w:rPr>
        <w:t>承担电子口岸项目应用规划、建设,新疆国际贸易“单一窗口”本地特色应用项目开发;负责口岸货运量、贸易额数据采集、汇总分析;负责口岸经济发展政策研究和市场调查等工作。</w:t>
      </w:r>
    </w:p>
    <w:p w14:paraId="608C9D2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二、机构设置及人员情况</w:t>
      </w:r>
    </w:p>
    <w:p w14:paraId="520D3204">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新疆维吾尔自治区口岸发展促进中心2024年度，实有人数12人，其中：在职人员12人，增加12人；离休人员0人，较上年无变化；退休人员0人，较上年无变化</w:t>
      </w:r>
      <w:r>
        <w:rPr>
          <w:rFonts w:hint="eastAsia" w:ascii="Times New Roman" w:hAnsi="Times New Roman" w:eastAsia="仿宋_GB2312"/>
          <w:b w:val="0"/>
          <w:bCs w:val="0"/>
          <w:sz w:val="32"/>
          <w:szCs w:val="32"/>
          <w:lang w:eastAsia="zh-CN"/>
        </w:rPr>
        <w:t>。</w:t>
      </w:r>
    </w:p>
    <w:p w14:paraId="646ADDE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新疆维吾尔自治区口岸发展促进中心无下属预算单位，无</w:t>
      </w:r>
      <w:r>
        <w:rPr>
          <w:rFonts w:hint="eastAsia" w:ascii="Times New Roman" w:hAnsi="Times New Roman" w:eastAsia="仿宋_GB2312"/>
          <w:b w:val="0"/>
          <w:bCs w:val="0"/>
          <w:sz w:val="32"/>
          <w:szCs w:val="32"/>
          <w:lang w:val="en-US" w:eastAsia="zh-CN"/>
        </w:rPr>
        <w:t>下设科室</w:t>
      </w:r>
      <w:r>
        <w:rPr>
          <w:rFonts w:ascii="Times New Roman" w:hAnsi="Times New Roman" w:eastAsia="仿宋_GB2312"/>
          <w:b w:val="0"/>
          <w:bCs w:val="0"/>
          <w:sz w:val="32"/>
          <w:szCs w:val="32"/>
          <w:lang w:eastAsia="zh-CN"/>
        </w:rPr>
        <w:t>。</w:t>
      </w:r>
      <w:bookmarkStart w:id="0" w:name="_GoBack"/>
      <w:bookmarkEnd w:id="0"/>
    </w:p>
    <w:p w14:paraId="636E873E">
      <w:pPr>
        <w:keepNext w:val="0"/>
        <w:keepLines w:val="0"/>
        <w:pageBreakBefore w:val="0"/>
        <w:widowControl/>
        <w:kinsoku/>
        <w:wordWrap/>
        <w:overflowPunct/>
        <w:topLinePunct w:val="0"/>
        <w:autoSpaceDE/>
        <w:autoSpaceDN/>
        <w:bidi w:val="0"/>
        <w:adjustRightInd/>
        <w:snapToGrid/>
        <w:spacing w:line="560" w:lineRule="exact"/>
        <w:ind w:left="440" w:leftChars="200"/>
        <w:jc w:val="both"/>
        <w:textAlignment w:val="auto"/>
        <w:rPr>
          <w:rFonts w:ascii="Times New Roman" w:hAnsi="Times New Roman"/>
          <w:b w:val="0"/>
          <w:bCs w:val="0"/>
          <w:lang w:eastAsia="zh-CN"/>
        </w:rPr>
      </w:pPr>
      <w:r>
        <w:rPr>
          <w:rFonts w:ascii="Times New Roman" w:hAnsi="Times New Roman"/>
          <w:b w:val="0"/>
          <w:bCs w:val="0"/>
          <w:sz w:val="0"/>
          <w:szCs w:val="0"/>
          <w:lang w:eastAsia="zh-CN"/>
        </w:rPr>
        <w:br w:type="page"/>
      </w:r>
    </w:p>
    <w:p w14:paraId="3C90F2F2">
      <w:pPr>
        <w:keepNext w:val="0"/>
        <w:keepLines w:val="0"/>
        <w:pageBreakBefore w:val="0"/>
        <w:widowControl/>
        <w:kinsoku/>
        <w:wordWrap/>
        <w:overflowPunct/>
        <w:topLinePunct w:val="0"/>
        <w:autoSpaceDE/>
        <w:autoSpaceDN/>
        <w:bidi w:val="0"/>
        <w:adjustRightInd/>
        <w:snapToGrid/>
        <w:spacing w:after="0" w:line="560" w:lineRule="exact"/>
        <w:ind w:left="440" w:leftChars="200"/>
        <w:jc w:val="center"/>
        <w:textAlignment w:val="auto"/>
        <w:outlineLvl w:val="0"/>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第二部分</w:t>
      </w:r>
      <w:r>
        <w:rPr>
          <w:rFonts w:hint="eastAsia"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部门决算情况说明</w:t>
      </w:r>
    </w:p>
    <w:p w14:paraId="2BCADC5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一、收入支出决算总体情况说明</w:t>
      </w:r>
    </w:p>
    <w:p w14:paraId="22D1D58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2024年度收入总计166.89万元，其中：本年收入合计166.89万元，使用非财政拨款结余（含专用结余）0.00万元，年初结转和结余0.00万元。</w:t>
      </w:r>
    </w:p>
    <w:p w14:paraId="02AD9A6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2024年度支出总计166.89万元，其中：本年支出合计163.37万元，结余分配0.00万元，年末结转和结余3.52万元。</w:t>
      </w:r>
    </w:p>
    <w:p w14:paraId="04090E5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收入支出总体与上年相比，增加</w:t>
      </w:r>
      <w:r>
        <w:rPr>
          <w:rFonts w:hint="eastAsia" w:ascii="Times New Roman" w:hAnsi="Times New Roman" w:eastAsia="仿宋_GB2312"/>
          <w:b w:val="0"/>
          <w:bCs w:val="0"/>
          <w:sz w:val="32"/>
          <w:szCs w:val="32"/>
          <w:lang w:val="en-US" w:eastAsia="zh-CN"/>
        </w:rPr>
        <w:t>166.89</w:t>
      </w:r>
      <w:r>
        <w:rPr>
          <w:rFonts w:ascii="Times New Roman" w:hAnsi="Times New Roman" w:eastAsia="仿宋_GB2312"/>
          <w:b w:val="0"/>
          <w:bCs w:val="0"/>
          <w:sz w:val="32"/>
          <w:szCs w:val="32"/>
          <w:lang w:eastAsia="zh-CN"/>
        </w:rPr>
        <w:t>万元，增</w:t>
      </w:r>
      <w:r>
        <w:rPr>
          <w:rFonts w:hint="eastAsia" w:ascii="Times New Roman" w:hAnsi="Times New Roman" w:eastAsia="仿宋_GB2312"/>
          <w:b w:val="0"/>
          <w:bCs w:val="0"/>
          <w:sz w:val="32"/>
          <w:szCs w:val="32"/>
          <w:lang w:val="en-US" w:eastAsia="zh-CN"/>
        </w:rPr>
        <w:t>长</w:t>
      </w:r>
      <w:r>
        <w:rPr>
          <w:rFonts w:ascii="Times New Roman" w:hAnsi="Times New Roman" w:eastAsia="仿宋_GB2312"/>
          <w:b w:val="0"/>
          <w:bCs w:val="0"/>
          <w:sz w:val="32"/>
          <w:szCs w:val="32"/>
          <w:lang w:eastAsia="zh-CN"/>
        </w:rPr>
        <w:t>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主要原因是：本单位为2024年新成立单位，上年</w:t>
      </w:r>
      <w:r>
        <w:rPr>
          <w:rFonts w:hint="eastAsia" w:ascii="Times New Roman" w:hAnsi="Times New Roman" w:eastAsia="仿宋_GB2312"/>
          <w:b w:val="0"/>
          <w:bCs w:val="0"/>
          <w:sz w:val="32"/>
          <w:szCs w:val="32"/>
          <w:lang w:val="en-US" w:eastAsia="zh-CN"/>
        </w:rPr>
        <w:t>无预算安排。</w:t>
      </w:r>
    </w:p>
    <w:p w14:paraId="1E323AF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二、收入决算情况说明</w:t>
      </w:r>
    </w:p>
    <w:p w14:paraId="1434D27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本年收入166.89万元，其中：财政拨款收入166.87万元,</w:t>
      </w:r>
    </w:p>
    <w:p w14:paraId="11D74C4F">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占99.99%；上级补助收入0.00万元,占0.00%；事业收入0.00万元，占0.00%；经营收入0.00万元,占0.00%；附属单位上缴收入0.00万元，占0.00%；其他收入0.01万元，占0.01%。</w:t>
      </w:r>
    </w:p>
    <w:p w14:paraId="4EC1E4F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三、支出决算情况说明</w:t>
      </w:r>
    </w:p>
    <w:p w14:paraId="34FC9546">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本年支出163.37万元，其中：基本支出94.45万元，占57.81%；项目支出68.92万元，占42.19%；上缴上级支出0.00万元，占0.00%；经营支出0.00万元，占0.00%；对附属单位补助支出0.00万元，占0.00%。</w:t>
      </w:r>
    </w:p>
    <w:p w14:paraId="67BF270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四、财政拨款收入支出决算总体情况说明</w:t>
      </w:r>
    </w:p>
    <w:p w14:paraId="4BA47EB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2024年度财政拨款收入总计166.87万元，其中：年初财政拨款结转和结余0.00万元，本年财政拨款收入166.87万元。财政拨款支出总计166.87万元，其中：年末财政拨款结转和结余3.52万元，本年财政拨款支出163.35万元。</w:t>
      </w:r>
    </w:p>
    <w:p w14:paraId="4115BC2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highlight w:val="none"/>
          <w:lang w:eastAsia="zh-CN"/>
        </w:rPr>
      </w:pPr>
      <w:r>
        <w:rPr>
          <w:rFonts w:ascii="Times New Roman" w:hAnsi="Times New Roman" w:eastAsia="仿宋_GB2312"/>
          <w:b w:val="0"/>
          <w:bCs w:val="0"/>
          <w:sz w:val="32"/>
          <w:szCs w:val="32"/>
          <w:lang w:eastAsia="zh-CN"/>
        </w:rPr>
        <w:t>财政拨款收入支出总体与上年相比，增加166.87万元，增长</w:t>
      </w:r>
      <w:r>
        <w:rPr>
          <w:rFonts w:hint="eastAsia" w:ascii="Times New Roman" w:hAnsi="Times New Roman" w:eastAsia="仿宋_GB2312"/>
          <w:b w:val="0"/>
          <w:bCs w:val="0"/>
          <w:sz w:val="32"/>
          <w:szCs w:val="32"/>
          <w:lang w:val="en-US" w:eastAsia="zh-CN"/>
        </w:rPr>
        <w:t>100</w:t>
      </w:r>
      <w:r>
        <w:rPr>
          <w:rFonts w:hint="default" w:ascii="Times New Roman" w:hAnsi="Times New Roman" w:eastAsia="仿宋_GB2312"/>
          <w:b w:val="0"/>
          <w:bCs w:val="0"/>
          <w:sz w:val="32"/>
          <w:szCs w:val="32"/>
          <w:lang w:val="en-US" w:eastAsia="zh-CN"/>
        </w:rPr>
        <w:t>.00</w:t>
      </w:r>
      <w:r>
        <w:rPr>
          <w:rFonts w:hint="eastAsia" w:ascii="Times New Roman" w:hAnsi="Times New Roman" w:eastAsia="仿宋_GB2312"/>
          <w:b w:val="0"/>
          <w:bCs w:val="0"/>
          <w:sz w:val="32"/>
          <w:szCs w:val="32"/>
          <w:lang w:val="en-US" w:eastAsia="zh-CN"/>
        </w:rPr>
        <w:t>%</w:t>
      </w:r>
      <w:r>
        <w:rPr>
          <w:rFonts w:ascii="Times New Roman" w:hAnsi="Times New Roman" w:eastAsia="仿宋_GB2312"/>
          <w:b w:val="0"/>
          <w:bCs w:val="0"/>
          <w:sz w:val="32"/>
          <w:szCs w:val="32"/>
          <w:lang w:eastAsia="zh-CN"/>
        </w:rPr>
        <w:t>，主要原因是：本单位为2024年新成立单位，上年无财政拨款收入。与年初预算相比，年初预算数165.72万元，决算数166.87万元，预决算差异率0.69%，主要原因是：预算执行过程中，</w:t>
      </w:r>
      <w:r>
        <w:rPr>
          <w:rFonts w:hint="eastAsia" w:ascii="Times New Roman" w:hAnsi="Times New Roman" w:eastAsia="仿宋_GB2312"/>
          <w:b w:val="0"/>
          <w:bCs w:val="0"/>
          <w:sz w:val="32"/>
          <w:szCs w:val="32"/>
          <w:lang w:val="en-US" w:eastAsia="zh-CN"/>
        </w:rPr>
        <w:t>财政年中调剂预算，</w:t>
      </w:r>
      <w:r>
        <w:rPr>
          <w:rFonts w:ascii="Times New Roman" w:hAnsi="Times New Roman" w:eastAsia="仿宋_GB2312"/>
          <w:b w:val="0"/>
          <w:bCs w:val="0"/>
          <w:sz w:val="32"/>
          <w:szCs w:val="32"/>
          <w:highlight w:val="none"/>
          <w:lang w:eastAsia="zh-CN"/>
        </w:rPr>
        <w:t>导致财政拨款收入增加。</w:t>
      </w:r>
    </w:p>
    <w:p w14:paraId="6FDA0A7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五、一般公共预算财政拨款支出决算情况说明</w:t>
      </w:r>
    </w:p>
    <w:p w14:paraId="108BABF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（一）一般公共预算财政拨款支出决算总体情况</w:t>
      </w:r>
    </w:p>
    <w:p w14:paraId="32CE8BD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highlight w:val="green"/>
          <w:lang w:eastAsia="zh-CN"/>
        </w:rPr>
      </w:pPr>
      <w:r>
        <w:rPr>
          <w:rFonts w:ascii="Times New Roman" w:hAnsi="Times New Roman" w:eastAsia="仿宋_GB2312"/>
          <w:b w:val="0"/>
          <w:bCs w:val="0"/>
          <w:sz w:val="32"/>
          <w:szCs w:val="32"/>
          <w:lang w:eastAsia="zh-CN"/>
        </w:rPr>
        <w:t>2024年度一般公共预算财政拨款支出163.35万元，占本年支出合计的99.99%。与上年相比，增加163.35万元，增长100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%，主要原因是：本单位为2024年新成立单位，上年无相关支出，本年度开展工作产生相关支出。与年初预算相比，年初预算数165.72万元，决算数163.35万元，预决算差异率-1.43%，主要原因是：</w:t>
      </w:r>
      <w:r>
        <w:rPr>
          <w:rFonts w:hint="eastAsia" w:ascii="Times New Roman" w:hAnsi="Times New Roman" w:eastAsia="仿宋_GB2312"/>
          <w:b w:val="0"/>
          <w:bCs w:val="0"/>
          <w:sz w:val="32"/>
          <w:szCs w:val="32"/>
          <w:lang w:val="en-US" w:eastAsia="zh-CN"/>
        </w:rPr>
        <w:t>2024年一般公共预算结余指标被财政收回。</w:t>
      </w:r>
    </w:p>
    <w:p w14:paraId="36E0E8A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（二）一般公共预算财政拨款支出决算结构情况</w:t>
      </w:r>
    </w:p>
    <w:p w14:paraId="7D33FE3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1.</w:t>
      </w:r>
      <w:r>
        <w:rPr>
          <w:rFonts w:ascii="Times New Roman" w:hAnsi="Times New Roman" w:eastAsia="仿宋_GB2312"/>
          <w:b w:val="0"/>
          <w:bCs w:val="0"/>
          <w:sz w:val="32"/>
          <w:szCs w:val="32"/>
          <w:lang w:eastAsia="zh-CN"/>
        </w:rPr>
        <w:t>一般公共服务支出（类）142.59万元</w:t>
      </w:r>
      <w:r>
        <w:rPr>
          <w:rFonts w:hint="eastAsia" w:ascii="Times New Roman" w:hAnsi="Times New Roman" w:eastAsia="仿宋_GB2312"/>
          <w:b w:val="0"/>
          <w:bCs w:val="0"/>
          <w:sz w:val="32"/>
          <w:szCs w:val="32"/>
          <w:lang w:eastAsia="zh-CN"/>
        </w:rPr>
        <w:t>，</w:t>
      </w:r>
      <w:r>
        <w:rPr>
          <w:rFonts w:ascii="Times New Roman" w:hAnsi="Times New Roman" w:eastAsia="仿宋_GB2312"/>
          <w:b w:val="0"/>
          <w:bCs w:val="0"/>
          <w:sz w:val="32"/>
          <w:szCs w:val="32"/>
          <w:lang w:eastAsia="zh-CN"/>
        </w:rPr>
        <w:t>占87.29%。</w:t>
      </w:r>
    </w:p>
    <w:p w14:paraId="78993AF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2.</w:t>
      </w:r>
      <w:r>
        <w:rPr>
          <w:rFonts w:ascii="Times New Roman" w:hAnsi="Times New Roman" w:eastAsia="仿宋_GB2312"/>
          <w:b w:val="0"/>
          <w:bCs w:val="0"/>
          <w:sz w:val="32"/>
          <w:szCs w:val="32"/>
          <w:lang w:eastAsia="zh-CN"/>
        </w:rPr>
        <w:t>社会保障和就业支出（类）7.52万元，占4.60%。</w:t>
      </w:r>
    </w:p>
    <w:p w14:paraId="5FE43D64">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3.</w:t>
      </w:r>
      <w:r>
        <w:rPr>
          <w:rFonts w:ascii="Times New Roman" w:hAnsi="Times New Roman" w:eastAsia="仿宋_GB2312"/>
          <w:b w:val="0"/>
          <w:bCs w:val="0"/>
          <w:sz w:val="32"/>
          <w:szCs w:val="32"/>
          <w:lang w:eastAsia="zh-CN"/>
        </w:rPr>
        <w:t>卫生健康支出（类）6.90万元，占4.22%。</w:t>
      </w:r>
    </w:p>
    <w:p w14:paraId="3A560FA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4.</w:t>
      </w:r>
      <w:r>
        <w:rPr>
          <w:rFonts w:ascii="Times New Roman" w:hAnsi="Times New Roman" w:eastAsia="仿宋_GB2312"/>
          <w:b w:val="0"/>
          <w:bCs w:val="0"/>
          <w:sz w:val="32"/>
          <w:szCs w:val="32"/>
          <w:lang w:eastAsia="zh-CN"/>
        </w:rPr>
        <w:t>住房保障支出（类）6.34万元，占3.88%。</w:t>
      </w:r>
    </w:p>
    <w:p w14:paraId="1C34514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（三）一般公共预算财政拨款支出决算具体情况</w:t>
      </w:r>
    </w:p>
    <w:p w14:paraId="7501A1F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1</w:t>
      </w:r>
      <w:r>
        <w:rPr>
          <w:rFonts w:hint="default" w:ascii="Times New Roman" w:hAnsi="Times New Roman" w:eastAsia="仿宋_GB2312"/>
          <w:b w:val="0"/>
          <w:bCs w:val="0"/>
          <w:sz w:val="32"/>
          <w:szCs w:val="32"/>
          <w:lang w:val="en-US" w:eastAsia="zh-CN"/>
        </w:rPr>
        <w:t>.</w:t>
      </w:r>
      <w:r>
        <w:rPr>
          <w:rFonts w:ascii="Times New Roman" w:hAnsi="Times New Roman" w:eastAsia="仿宋_GB2312"/>
          <w:b w:val="0"/>
          <w:bCs w:val="0"/>
          <w:sz w:val="32"/>
          <w:szCs w:val="32"/>
          <w:lang w:eastAsia="zh-CN"/>
        </w:rPr>
        <w:t>一般公共服务支出（类）商贸事务（款）事业运行（项）：支出决算数为73.67万元，比上年决算增加73.67万元，增长100.00%，主要原因是：本单位为2024年新成立单位，上年无事业运行支出，本年度为保障日常运行产生人员工资、办公经费等支出。</w:t>
      </w:r>
    </w:p>
    <w:p w14:paraId="18E2C1F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hint="eastAsia" w:ascii="Times New Roman" w:hAnsi="Times New Roman" w:eastAsia="仿宋_GB2312"/>
          <w:b w:val="0"/>
          <w:bCs w:val="0"/>
          <w:sz w:val="32"/>
          <w:szCs w:val="32"/>
          <w:lang w:val="en-US" w:eastAsia="zh-CN"/>
        </w:rPr>
      </w:pPr>
      <w:r>
        <w:rPr>
          <w:rFonts w:ascii="Times New Roman" w:hAnsi="Times New Roman" w:eastAsia="仿宋_GB2312"/>
          <w:b w:val="0"/>
          <w:bCs w:val="0"/>
          <w:sz w:val="32"/>
          <w:szCs w:val="32"/>
          <w:lang w:eastAsia="zh-CN"/>
        </w:rPr>
        <w:t>2</w:t>
      </w:r>
      <w:r>
        <w:rPr>
          <w:rFonts w:hint="default" w:ascii="Times New Roman" w:hAnsi="Times New Roman" w:eastAsia="仿宋_GB2312"/>
          <w:b w:val="0"/>
          <w:bCs w:val="0"/>
          <w:sz w:val="32"/>
          <w:szCs w:val="32"/>
          <w:lang w:val="en-US" w:eastAsia="zh-CN"/>
        </w:rPr>
        <w:t>.</w:t>
      </w:r>
      <w:r>
        <w:rPr>
          <w:rFonts w:ascii="Times New Roman" w:hAnsi="Times New Roman" w:eastAsia="仿宋_GB2312"/>
          <w:b w:val="0"/>
          <w:bCs w:val="0"/>
          <w:sz w:val="32"/>
          <w:szCs w:val="32"/>
          <w:lang w:eastAsia="zh-CN"/>
        </w:rPr>
        <w:t>一般公共服务支出（类）商贸事务（款）其他商贸事务支出（项）：支出决算数为68.92万元，比上年决算增加68.92万元，增长100.00%，主要原因是：本单位为2024年新成立单位，上年无相关项目支出，本年度</w:t>
      </w:r>
      <w:r>
        <w:rPr>
          <w:rFonts w:hint="eastAsia" w:ascii="Times New Roman" w:hAnsi="Times New Roman" w:eastAsia="仿宋_GB2312"/>
          <w:b w:val="0"/>
          <w:bCs w:val="0"/>
          <w:sz w:val="32"/>
          <w:szCs w:val="32"/>
          <w:lang w:val="en-US" w:eastAsia="zh-CN"/>
        </w:rPr>
        <w:t>为保障单位正常工作运行，年中追加通用办公设备和办公家具采购经费。</w:t>
      </w:r>
    </w:p>
    <w:p w14:paraId="2E9299A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3.</w:t>
      </w:r>
      <w:r>
        <w:rPr>
          <w:rFonts w:ascii="Times New Roman" w:hAnsi="Times New Roman" w:eastAsia="仿宋_GB2312"/>
          <w:b w:val="0"/>
          <w:bCs w:val="0"/>
          <w:sz w:val="32"/>
          <w:szCs w:val="32"/>
          <w:lang w:eastAsia="zh-CN"/>
        </w:rPr>
        <w:t>社会保障和就业支出（类）行政事业单位养老支出（款）机关事业单位基本养老保险缴费支出（项）：支出决算数为7.52万元，比上年决算增加7.52万元，增长100.00%，主要原因是：本单位为2024年新成立单位，上年无人员及缴费，本年度按规定为在职人缴纳基本养老保险。</w:t>
      </w:r>
    </w:p>
    <w:p w14:paraId="68E3527A">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4.</w:t>
      </w:r>
      <w:r>
        <w:rPr>
          <w:rFonts w:ascii="Times New Roman" w:hAnsi="Times New Roman" w:eastAsia="仿宋_GB2312"/>
          <w:b w:val="0"/>
          <w:bCs w:val="0"/>
          <w:sz w:val="32"/>
          <w:szCs w:val="32"/>
          <w:lang w:eastAsia="zh-CN"/>
        </w:rPr>
        <w:t>卫生健康支出（类）行政事业单位医疗（款）事业单位</w:t>
      </w:r>
    </w:p>
    <w:p w14:paraId="3CED877C">
      <w:pPr>
        <w:keepNext w:val="0"/>
        <w:keepLines w:val="0"/>
        <w:pageBreakBefore w:val="0"/>
        <w:widowControl/>
        <w:numPr>
          <w:ilvl w:val="0"/>
          <w:numId w:val="0"/>
        </w:numPr>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医疗（项）：支出决算数为3.62万元，比上年决算增加3.62万元，增长100.00%，主要原因是：本单位为2024年新成立单位，上年无人员及缴费，本年</w:t>
      </w:r>
      <w:r>
        <w:rPr>
          <w:rFonts w:hint="eastAsia" w:ascii="Times New Roman" w:hAnsi="Times New Roman" w:eastAsia="仿宋_GB2312"/>
          <w:b w:val="0"/>
          <w:bCs w:val="0"/>
          <w:sz w:val="32"/>
          <w:szCs w:val="32"/>
          <w:lang w:val="en-US" w:eastAsia="zh-CN"/>
        </w:rPr>
        <w:t>度</w:t>
      </w:r>
      <w:r>
        <w:rPr>
          <w:rFonts w:ascii="Times New Roman" w:hAnsi="Times New Roman" w:eastAsia="仿宋_GB2312"/>
          <w:b w:val="0"/>
          <w:bCs w:val="0"/>
          <w:sz w:val="32"/>
          <w:szCs w:val="32"/>
          <w:lang w:eastAsia="zh-CN"/>
        </w:rPr>
        <w:t>按规定为在职人员缴纳职工基本医疗保险。</w:t>
      </w:r>
    </w:p>
    <w:p w14:paraId="50CFB5C4">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5.</w:t>
      </w:r>
      <w:r>
        <w:rPr>
          <w:rFonts w:ascii="Times New Roman" w:hAnsi="Times New Roman" w:eastAsia="仿宋_GB2312"/>
          <w:b w:val="0"/>
          <w:bCs w:val="0"/>
          <w:sz w:val="32"/>
          <w:szCs w:val="32"/>
          <w:lang w:eastAsia="zh-CN"/>
        </w:rPr>
        <w:t>卫生健康支出（类）行政事业单位医疗（款）公务员医</w:t>
      </w:r>
    </w:p>
    <w:p w14:paraId="75ECA4AB">
      <w:pPr>
        <w:keepNext w:val="0"/>
        <w:keepLines w:val="0"/>
        <w:pageBreakBefore w:val="0"/>
        <w:widowControl/>
        <w:numPr>
          <w:ilvl w:val="0"/>
          <w:numId w:val="0"/>
        </w:numPr>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疗补助（项）：支出决算数为3.29万元，比上年决算增加3.29万元，增长100.00%，主要原因是：本单位为2024年新成立单位，上年无人员及缴费，本年</w:t>
      </w:r>
      <w:r>
        <w:rPr>
          <w:rFonts w:hint="eastAsia" w:ascii="Times New Roman" w:hAnsi="Times New Roman" w:eastAsia="仿宋_GB2312"/>
          <w:b w:val="0"/>
          <w:bCs w:val="0"/>
          <w:sz w:val="32"/>
          <w:szCs w:val="32"/>
          <w:lang w:val="en-US" w:eastAsia="zh-CN"/>
        </w:rPr>
        <w:t>度</w:t>
      </w:r>
      <w:r>
        <w:rPr>
          <w:rFonts w:ascii="Times New Roman" w:hAnsi="Times New Roman" w:eastAsia="仿宋_GB2312"/>
          <w:b w:val="0"/>
          <w:bCs w:val="0"/>
          <w:sz w:val="32"/>
          <w:szCs w:val="32"/>
          <w:lang w:eastAsia="zh-CN"/>
        </w:rPr>
        <w:t>按规定为在职人员缴纳公务员医疗补助。</w:t>
      </w:r>
    </w:p>
    <w:p w14:paraId="063E121B">
      <w:pPr>
        <w:keepNext w:val="0"/>
        <w:keepLines w:val="0"/>
        <w:pageBreakBefore w:val="0"/>
        <w:widowControl/>
        <w:numPr>
          <w:ilvl w:val="0"/>
          <w:numId w:val="0"/>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hint="default" w:ascii="Times New Roman" w:hAnsi="Times New Roman" w:eastAsia="仿宋_GB2312"/>
          <w:b w:val="0"/>
          <w:bCs w:val="0"/>
          <w:sz w:val="32"/>
          <w:szCs w:val="32"/>
          <w:lang w:val="en-US" w:eastAsia="zh-CN"/>
        </w:rPr>
        <w:t>6.</w:t>
      </w:r>
      <w:r>
        <w:rPr>
          <w:rFonts w:ascii="Times New Roman" w:hAnsi="Times New Roman" w:eastAsia="仿宋_GB2312"/>
          <w:b w:val="0"/>
          <w:bCs w:val="0"/>
          <w:sz w:val="32"/>
          <w:szCs w:val="32"/>
          <w:lang w:eastAsia="zh-CN"/>
        </w:rPr>
        <w:t>住房保障支出（类）住房改革支出（款）住房公积金（项）：支出决算数为6.34万元，比上年决算增加6.34万元，增长100.00%，主要原因是：本单位为2024年新成立单位，上年无人员及缴费，本年度按规定为在职人员缴纳住房公积金。</w:t>
      </w:r>
    </w:p>
    <w:p w14:paraId="57CC53F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六、一般公共预算财政拨款基本支出决算情况说明</w:t>
      </w:r>
    </w:p>
    <w:p w14:paraId="7AFE9B6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2024年度一般公共预算财政拨款基本支出94.43万元，其</w:t>
      </w:r>
    </w:p>
    <w:p w14:paraId="09A3D82C">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中：人员经费71.55万元，包括：基本工资、津贴补贴、机关事业单位基本养老保险缴费、职工基本医疗保险缴费、公务员医疗补助缴费、其他社会保障缴费和住房公积金。</w:t>
      </w:r>
    </w:p>
    <w:p w14:paraId="05A1A4A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公用经费22.88万元，包括：办公费、手续费、差旅费、</w:t>
      </w:r>
    </w:p>
    <w:p w14:paraId="51D30017">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工会经费、福利费和公务用车运行维护费。</w:t>
      </w:r>
    </w:p>
    <w:p w14:paraId="7D9F356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七、政府性基金预算财政拨款收入支出决算情况说明</w:t>
      </w:r>
    </w:p>
    <w:p w14:paraId="65277A4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本单位本年度无政府性基金预算财政拨款收入、支出及结转和结余，政府性基金预算财政拨款收入支出决算表为空表。</w:t>
      </w:r>
    </w:p>
    <w:p w14:paraId="2551B03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八、国有资本经营预算财政拨款收入支出决算情况说明</w:t>
      </w:r>
    </w:p>
    <w:p w14:paraId="1780ED3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本单位本年度无国有资本经营预算财政拨款收入、支出及结转和结余，国有资本经营预算财政拨款收入支出决算表为空表。</w:t>
      </w:r>
    </w:p>
    <w:p w14:paraId="582A4CD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九、财政拨款“三公”经费支出决算情况说明</w:t>
      </w:r>
    </w:p>
    <w:p w14:paraId="0F0F491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2024年度财政拨款“三公”经费支出6.24万元，比上年增加6.24万元，增长100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新成立单位，上年无“三公”经费支出，本年度因工作需要产生产生三公经费。其中：因公出国（境）费支出0.00万元,占0.00%，与上年相比无变化，主要原因是：本年度未安排因公出国（境）</w:t>
      </w:r>
      <w:r>
        <w:rPr>
          <w:rFonts w:hint="eastAsia" w:ascii="Times New Roman" w:hAnsi="Times New Roman" w:eastAsia="仿宋_GB2312"/>
          <w:b w:val="0"/>
          <w:bCs w:val="0"/>
          <w:sz w:val="32"/>
          <w:szCs w:val="32"/>
          <w:lang w:val="en-US" w:eastAsia="zh-CN"/>
        </w:rPr>
        <w:t>经费支出</w:t>
      </w:r>
      <w:r>
        <w:rPr>
          <w:rFonts w:ascii="Times New Roman" w:hAnsi="Times New Roman" w:eastAsia="仿宋_GB2312"/>
          <w:b w:val="0"/>
          <w:bCs w:val="0"/>
          <w:sz w:val="32"/>
          <w:szCs w:val="32"/>
          <w:lang w:eastAsia="zh-CN"/>
        </w:rPr>
        <w:t>；公务用车购置及运行维护费支出6.24万元，占100.00%，比上年增加6.24万元，增长100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%，主要原因是：本单位为2024年新成立单位，本年单位有一辆公务用车，产生公务用车运行维护费；公务接待费支出0.00万元，占0.00%，与上年相比无变化，主要原因是：</w:t>
      </w:r>
      <w:r>
        <w:rPr>
          <w:rFonts w:hint="eastAsia" w:ascii="仿宋_GB2312" w:eastAsia="仿宋_GB2312"/>
          <w:b w:val="0"/>
          <w:bCs w:val="0"/>
          <w:spacing w:val="0"/>
          <w:sz w:val="32"/>
          <w:szCs w:val="32"/>
          <w:highlight w:val="none"/>
          <w:lang w:eastAsia="zh-CN"/>
        </w:rPr>
        <w:t>本年度我单位未安排公务接待费支出</w:t>
      </w:r>
      <w:r>
        <w:rPr>
          <w:rFonts w:ascii="Times New Roman" w:hAnsi="Times New Roman" w:eastAsia="仿宋_GB2312"/>
          <w:b w:val="0"/>
          <w:bCs w:val="0"/>
          <w:sz w:val="32"/>
          <w:szCs w:val="32"/>
          <w:lang w:eastAsia="zh-CN"/>
        </w:rPr>
        <w:t>。</w:t>
      </w:r>
    </w:p>
    <w:p w14:paraId="7DE6685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具体情况如下：</w:t>
      </w:r>
    </w:p>
    <w:p w14:paraId="7915578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因公出国（境）费支出0.00万元，开支内容包括无相关支出。单位全年安排的因公出国（境）团组0个，因公出国（境）0人次。</w:t>
      </w:r>
    </w:p>
    <w:p w14:paraId="5B4FC71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公务用车购置及运行维护费6.24万元，其中：公务用车购置费0.00万元，公务用车运行维护费6.24万元。公务用车运行维护费开支内容包括车辆燃料费、维修费、保险费、过路费等。公务用车购置数0辆，公务用车保有量1辆。国有资产占用情况中固定资产车辆0辆，与公务用车保有量差异原因是：本单位为2024年新成立单位</w:t>
      </w:r>
      <w:r>
        <w:rPr>
          <w:rFonts w:hint="eastAsia" w:ascii="Times New Roman" w:hAnsi="Times New Roman" w:eastAsia="仿宋_GB2312"/>
          <w:b w:val="0"/>
          <w:bCs w:val="0"/>
          <w:sz w:val="32"/>
          <w:szCs w:val="32"/>
          <w:lang w:eastAsia="zh-CN"/>
        </w:rPr>
        <w:t>，</w:t>
      </w:r>
      <w:r>
        <w:rPr>
          <w:rFonts w:hint="eastAsia" w:ascii="Times New Roman" w:hAnsi="Times New Roman" w:eastAsia="仿宋_GB2312"/>
          <w:b w:val="0"/>
          <w:bCs w:val="0"/>
          <w:sz w:val="32"/>
          <w:szCs w:val="32"/>
          <w:lang w:val="en-US" w:eastAsia="zh-CN"/>
        </w:rPr>
        <w:t>年初按自治区机关事务管理局批复划转1</w:t>
      </w:r>
      <w:r>
        <w:rPr>
          <w:rFonts w:ascii="Times New Roman" w:hAnsi="Times New Roman" w:eastAsia="仿宋_GB2312"/>
          <w:b w:val="0"/>
          <w:bCs w:val="0"/>
          <w:sz w:val="32"/>
          <w:szCs w:val="32"/>
          <w:lang w:eastAsia="zh-CN"/>
        </w:rPr>
        <w:t>辆</w:t>
      </w:r>
      <w:r>
        <w:rPr>
          <w:rFonts w:hint="eastAsia" w:ascii="Times New Roman" w:hAnsi="Times New Roman" w:eastAsia="仿宋_GB2312"/>
          <w:b w:val="0"/>
          <w:bCs w:val="0"/>
          <w:sz w:val="32"/>
          <w:szCs w:val="32"/>
          <w:lang w:val="en-US" w:eastAsia="zh-CN"/>
        </w:rPr>
        <w:t>车，2024年</w:t>
      </w:r>
      <w:r>
        <w:rPr>
          <w:rFonts w:ascii="Times New Roman" w:hAnsi="Times New Roman" w:eastAsia="仿宋_GB2312"/>
          <w:b w:val="0"/>
          <w:bCs w:val="0"/>
          <w:sz w:val="32"/>
          <w:szCs w:val="32"/>
          <w:lang w:eastAsia="zh-CN"/>
        </w:rPr>
        <w:t>12月份报废</w:t>
      </w:r>
      <w:r>
        <w:rPr>
          <w:rFonts w:hint="eastAsia" w:ascii="Times New Roman" w:hAnsi="Times New Roman" w:eastAsia="仿宋_GB2312"/>
          <w:b w:val="0"/>
          <w:bCs w:val="0"/>
          <w:sz w:val="32"/>
          <w:szCs w:val="32"/>
          <w:lang w:val="en-US" w:eastAsia="zh-CN"/>
        </w:rPr>
        <w:t>该</w:t>
      </w:r>
      <w:r>
        <w:rPr>
          <w:rFonts w:ascii="Times New Roman" w:hAnsi="Times New Roman" w:eastAsia="仿宋_GB2312"/>
          <w:b w:val="0"/>
          <w:bCs w:val="0"/>
          <w:sz w:val="32"/>
          <w:szCs w:val="32"/>
          <w:lang w:eastAsia="zh-CN"/>
        </w:rPr>
        <w:t>车辆</w:t>
      </w:r>
      <w:r>
        <w:rPr>
          <w:rFonts w:hint="eastAsia" w:ascii="Times New Roman" w:hAnsi="Times New Roman" w:eastAsia="仿宋_GB2312"/>
          <w:b w:val="0"/>
          <w:bCs w:val="0"/>
          <w:sz w:val="32"/>
          <w:szCs w:val="32"/>
          <w:lang w:eastAsia="zh-CN"/>
        </w:rPr>
        <w:t>。</w:t>
      </w:r>
    </w:p>
    <w:p w14:paraId="2B82D82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公务接待费0.00万元，开支内容包括无相关支出。单位全年安排的国内公务接待0批次，0人次。</w:t>
      </w:r>
    </w:p>
    <w:p w14:paraId="6929425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与全年预算相比，财政拨款“三公”经费支出全年预算数6.24万元，决算数6.24万元，预决算差异率0.00%，主要原因是：严格按预算执行，无超支或节约情况。其中：因公出国（境）费全年预算数0.00万元，决算数0.00万元，预决算差异率0.00%，主要原因是：</w:t>
      </w:r>
      <w:r>
        <w:rPr>
          <w:rFonts w:hint="eastAsia" w:ascii="Times New Roman" w:hAnsi="Times New Roman" w:eastAsia="仿宋_GB2312"/>
          <w:b w:val="0"/>
          <w:bCs w:val="0"/>
          <w:sz w:val="32"/>
          <w:szCs w:val="32"/>
          <w:lang w:val="en-US" w:eastAsia="zh-CN"/>
        </w:rPr>
        <w:t>本年度</w:t>
      </w:r>
      <w:r>
        <w:rPr>
          <w:rFonts w:ascii="Times New Roman" w:hAnsi="Times New Roman" w:eastAsia="仿宋_GB2312"/>
          <w:b w:val="0"/>
          <w:bCs w:val="0"/>
          <w:sz w:val="32"/>
          <w:szCs w:val="32"/>
          <w:lang w:eastAsia="zh-CN"/>
        </w:rPr>
        <w:t>未安</w:t>
      </w:r>
      <w:r>
        <w:rPr>
          <w:rFonts w:hint="eastAsia" w:ascii="Times New Roman" w:hAnsi="Times New Roman" w:eastAsia="仿宋_GB2312"/>
          <w:b w:val="0"/>
          <w:bCs w:val="0"/>
          <w:sz w:val="32"/>
          <w:szCs w:val="32"/>
          <w:lang w:val="en-US" w:eastAsia="zh-CN"/>
        </w:rPr>
        <w:t>排</w:t>
      </w:r>
      <w:r>
        <w:rPr>
          <w:rFonts w:ascii="Times New Roman" w:hAnsi="Times New Roman" w:eastAsia="仿宋_GB2312"/>
          <w:b w:val="0"/>
          <w:bCs w:val="0"/>
          <w:sz w:val="32"/>
          <w:szCs w:val="32"/>
          <w:lang w:eastAsia="zh-CN"/>
        </w:rPr>
        <w:t>因公出国（境）费预算及支出；公务用车购置费全年预算数0.00万元，决算数0.00万元，预决算差异率0.00%，主要原因是：</w:t>
      </w:r>
      <w:r>
        <w:rPr>
          <w:rFonts w:hint="eastAsia" w:ascii="Times New Roman" w:hAnsi="Times New Roman" w:eastAsia="仿宋_GB2312"/>
          <w:b w:val="0"/>
          <w:bCs w:val="0"/>
          <w:sz w:val="32"/>
          <w:szCs w:val="32"/>
          <w:lang w:val="en-US" w:eastAsia="zh-CN"/>
        </w:rPr>
        <w:t>本年度</w:t>
      </w:r>
      <w:r>
        <w:rPr>
          <w:rFonts w:ascii="Times New Roman" w:hAnsi="Times New Roman" w:eastAsia="仿宋_GB2312"/>
          <w:b w:val="0"/>
          <w:bCs w:val="0"/>
          <w:sz w:val="32"/>
          <w:szCs w:val="32"/>
          <w:lang w:eastAsia="zh-CN"/>
        </w:rPr>
        <w:t>未安排公务用车购置预算及支出；公务用车运行维护费全年预算数6.24万元，决算数6.24万元，预决算差异率0.00%，主要原因是：</w:t>
      </w:r>
      <w:r>
        <w:rPr>
          <w:rFonts w:hint="eastAsia" w:ascii="Times New Roman" w:hAnsi="Times New Roman" w:eastAsia="仿宋_GB2312"/>
          <w:b w:val="0"/>
          <w:bCs w:val="0"/>
          <w:sz w:val="32"/>
          <w:szCs w:val="32"/>
          <w:highlight w:val="none"/>
          <w:lang w:eastAsia="zh-CN"/>
        </w:rPr>
        <w:t>从严控制公务用车运行维护费支出，做到量入为出，无预算不开支</w:t>
      </w:r>
      <w:r>
        <w:rPr>
          <w:rFonts w:ascii="Times New Roman" w:hAnsi="Times New Roman" w:eastAsia="仿宋_GB2312"/>
          <w:b w:val="0"/>
          <w:bCs w:val="0"/>
          <w:sz w:val="32"/>
          <w:szCs w:val="32"/>
          <w:highlight w:val="none"/>
          <w:lang w:eastAsia="zh-CN"/>
        </w:rPr>
        <w:t>；</w:t>
      </w:r>
      <w:r>
        <w:rPr>
          <w:rFonts w:ascii="Times New Roman" w:hAnsi="Times New Roman" w:eastAsia="仿宋_GB2312"/>
          <w:b w:val="0"/>
          <w:bCs w:val="0"/>
          <w:sz w:val="32"/>
          <w:szCs w:val="32"/>
          <w:lang w:eastAsia="zh-CN"/>
        </w:rPr>
        <w:t>公务接待费全年预算数0.00万元，决算数0.00万元，预决算差异率0.00%，主要原因是：</w:t>
      </w:r>
      <w:r>
        <w:rPr>
          <w:rFonts w:hint="eastAsia" w:ascii="Times New Roman" w:hAnsi="Times New Roman" w:eastAsia="仿宋_GB2312"/>
          <w:b w:val="0"/>
          <w:bCs w:val="0"/>
          <w:sz w:val="32"/>
          <w:szCs w:val="32"/>
          <w:lang w:val="en-US" w:eastAsia="zh-CN"/>
        </w:rPr>
        <w:t>本年度</w:t>
      </w:r>
      <w:r>
        <w:rPr>
          <w:rFonts w:ascii="Times New Roman" w:hAnsi="Times New Roman" w:eastAsia="仿宋_GB2312"/>
          <w:b w:val="0"/>
          <w:bCs w:val="0"/>
          <w:sz w:val="32"/>
          <w:szCs w:val="32"/>
          <w:lang w:eastAsia="zh-CN"/>
        </w:rPr>
        <w:t>未安排公务接待预算及支出。</w:t>
      </w:r>
    </w:p>
    <w:p w14:paraId="268CFCF7">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十、其他重要事项的情况说明</w:t>
      </w:r>
    </w:p>
    <w:p w14:paraId="5060C1D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（一）机关运行经费及公用经费支出情况</w:t>
      </w:r>
    </w:p>
    <w:p w14:paraId="7C1785A1">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2024年度新疆维吾尔自治区口岸发展促进中心单位（事业单位）公用经费支出22.88万元，比上年增加22.88万元，增长100</w:t>
      </w:r>
      <w:r>
        <w:rPr>
          <w:rFonts w:hint="default" w:ascii="Times New Roman" w:hAnsi="Times New Roman" w:eastAsia="仿宋_GB2312"/>
          <w:b w:val="0"/>
          <w:bCs w:val="0"/>
          <w:sz w:val="32"/>
          <w:szCs w:val="32"/>
          <w:lang w:val="en-US" w:eastAsia="zh-CN"/>
        </w:rPr>
        <w:t>.00</w:t>
      </w:r>
      <w:r>
        <w:rPr>
          <w:rFonts w:ascii="Times New Roman" w:hAnsi="Times New Roman" w:eastAsia="仿宋_GB2312"/>
          <w:b w:val="0"/>
          <w:bCs w:val="0"/>
          <w:sz w:val="32"/>
          <w:szCs w:val="32"/>
          <w:lang w:eastAsia="zh-CN"/>
        </w:rPr>
        <w:t>%，主要原因是：本单位为2024年新成立单位，上年无公用经费支出</w:t>
      </w:r>
      <w:r>
        <w:rPr>
          <w:rFonts w:hint="eastAsia" w:ascii="Times New Roman" w:hAnsi="Times New Roman" w:eastAsia="仿宋_GB2312"/>
          <w:b w:val="0"/>
          <w:bCs w:val="0"/>
          <w:sz w:val="32"/>
          <w:szCs w:val="32"/>
          <w:lang w:eastAsia="zh-CN"/>
        </w:rPr>
        <w:t>。</w:t>
      </w:r>
    </w:p>
    <w:p w14:paraId="3DEA251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（二）政府采购情况</w:t>
      </w:r>
    </w:p>
    <w:p w14:paraId="7AA32CF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2024年度政府采购支出总额60.40万元，其中：政府采购</w:t>
      </w:r>
    </w:p>
    <w:p w14:paraId="3C2556C7">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货物支出58.40万元、政府采购工程支出0.00万元、政府采购服务支出2.00万元。</w:t>
      </w:r>
    </w:p>
    <w:p w14:paraId="22073ED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授予中小企业合同金额45.54万元，占政府采购支出总额的75.40%，其中：授予小微企业合同金额45.54万元，占政府采购支出总额的75.40%。</w:t>
      </w:r>
    </w:p>
    <w:p w14:paraId="04E992A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2"/>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（三）国有资产占用情况说明</w:t>
      </w:r>
    </w:p>
    <w:p w14:paraId="51131D32">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rPr>
        <w:t>截至2024年12月31日，房屋0.00平方米，价值0.00万元。</w:t>
      </w:r>
      <w:r>
        <w:rPr>
          <w:rFonts w:ascii="Times New Roman" w:hAnsi="Times New Roman" w:eastAsia="仿宋_GB2312"/>
          <w:b w:val="0"/>
          <w:bCs w:val="0"/>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14:paraId="7E222D93">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十一、预算绩效的情况说明</w:t>
      </w:r>
    </w:p>
    <w:p w14:paraId="46E49DF5">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sectPr>
          <w:footerReference r:id="rId5" w:type="default"/>
          <w:pgSz w:w="12240" w:h="15840"/>
          <w:pgMar w:top="1440" w:right="1803" w:bottom="1440" w:left="1803" w:header="720" w:footer="720" w:gutter="0"/>
          <w:pgNumType w:fmt="numberInDash"/>
          <w:cols w:space="720" w:num="1"/>
        </w:sectPr>
      </w:pPr>
      <w:r>
        <w:rPr>
          <w:rFonts w:ascii="Times New Roman" w:hAnsi="Times New Roman" w:eastAsia="仿宋_GB2312"/>
          <w:b w:val="0"/>
          <w:bCs w:val="0"/>
          <w:sz w:val="32"/>
          <w:szCs w:val="32"/>
          <w:lang w:eastAsia="zh-CN"/>
        </w:rPr>
        <w:t>根据预算绩效管理要求，本单位2024年度预算绩效评价项目1个，全年预算数68.92万元，全年执行数68.92万元。预算绩效管理取得的成效：一是通过规范采购，实现办公设备合理配备，为日常办公高效开展提供稳定、适配的物质条件，让工作人员操作设备更顺畅、办公流程推进更有序。二是采购贴合口岸业务实际需求的设备家具，有力支撑口岸业务开展，促进工作高效推进。同时，硬件配置预留拓展空间，契合中心未来业务拓展，人员增加规划，为长期稳定办公及发展筑牢基础，实现当前需求与长远规划的有效衔接。发现的问题及原因：我单位对全面实施预算绩效管理工作高度重视，但是仍存在绩效目标设置经验不足，绩效指标制定不够科学合理的问题。下一步改进措施：建立健全预算绩效工作机制，完善涵盖绩效目标管理、绩效运行监控、绩效评价管理、评价结果应用流程和制度；加强各项支出绩效评价结果应用，强化绩效理念和支出责任，提高财政资金使用效益。将绩效评价结果作为改进预算管理、编制年度预算和安排财政资金的重要依据。具体附项目支出绩效自评表。</w:t>
      </w:r>
    </w:p>
    <w:tbl>
      <w:tblPr>
        <w:tblStyle w:val="13"/>
        <w:tblpPr w:leftFromText="180" w:rightFromText="180" w:vertAnchor="text" w:horzAnchor="page" w:tblpXSpec="center" w:tblpY="556"/>
        <w:tblOverlap w:val="never"/>
        <w:tblW w:w="5894"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76"/>
        <w:gridCol w:w="598"/>
        <w:gridCol w:w="1455"/>
        <w:gridCol w:w="2312"/>
        <w:gridCol w:w="1169"/>
        <w:gridCol w:w="1350"/>
        <w:gridCol w:w="1298"/>
        <w:gridCol w:w="883"/>
        <w:gridCol w:w="623"/>
        <w:gridCol w:w="1091"/>
        <w:gridCol w:w="780"/>
        <w:gridCol w:w="961"/>
        <w:gridCol w:w="1013"/>
        <w:gridCol w:w="1325"/>
      </w:tblGrid>
      <w:tr w14:paraId="74DFEFF6">
        <w:trPr>
          <w:trHeight w:val="297" w:hRule="atLeast"/>
          <w:jc w:val="center"/>
        </w:trPr>
        <w:tc>
          <w:tcPr>
            <w:tcW w:w="5000" w:type="pct"/>
            <w:gridSpan w:val="14"/>
            <w:tcBorders>
              <w:top w:val="nil"/>
              <w:left w:val="nil"/>
              <w:bottom w:val="nil"/>
              <w:right w:val="nil"/>
            </w:tcBorders>
            <w:shd w:val="clear" w:color="auto" w:fill="auto"/>
            <w:vAlign w:val="center"/>
          </w:tcPr>
          <w:p w14:paraId="1966E4B5">
            <w:pPr>
              <w:keepNext w:val="0"/>
              <w:keepLines w:val="0"/>
              <w:pageBreakBefore w:val="0"/>
              <w:widowControl/>
              <w:suppressLineNumbers w:val="0"/>
              <w:kinsoku/>
              <w:wordWrap/>
              <w:overflowPunct/>
              <w:topLinePunct w:val="0"/>
              <w:autoSpaceDE/>
              <w:autoSpaceDN/>
              <w:bidi w:val="0"/>
              <w:adjustRightInd/>
              <w:snapToGrid/>
              <w:spacing w:after="0" w:line="28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黑体" w:cs="黑体"/>
                <w:b w:val="0"/>
                <w:bCs w:val="0"/>
                <w:i w:val="0"/>
                <w:iCs w:val="0"/>
                <w:color w:val="000000"/>
                <w:kern w:val="0"/>
                <w:sz w:val="32"/>
                <w:szCs w:val="32"/>
                <w:u w:val="none"/>
                <w:lang w:val="en-US" w:eastAsia="zh-CN" w:bidi="ar"/>
              </w:rPr>
              <w:t>项目支出绩效自评表</w:t>
            </w:r>
          </w:p>
        </w:tc>
      </w:tr>
      <w:tr w14:paraId="78FE7FE6">
        <w:trPr>
          <w:trHeight w:val="167" w:hRule="atLeast"/>
          <w:jc w:val="center"/>
        </w:trPr>
        <w:tc>
          <w:tcPr>
            <w:tcW w:w="5000"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14:paraId="559C33A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(2024年度)</w:t>
            </w:r>
          </w:p>
        </w:tc>
      </w:tr>
      <w:tr w14:paraId="3B131EF9">
        <w:trPr>
          <w:trHeight w:val="179" w:hRule="atLeast"/>
          <w:jc w:val="center"/>
        </w:trPr>
        <w:tc>
          <w:tcPr>
            <w:tcW w:w="4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3CD8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项目名称</w:t>
            </w:r>
          </w:p>
        </w:tc>
        <w:tc>
          <w:tcPr>
            <w:tcW w:w="4589"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26B8454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通用办公设备和办公家具采购经费</w:t>
            </w:r>
          </w:p>
        </w:tc>
      </w:tr>
      <w:tr w14:paraId="74554BE2">
        <w:trPr>
          <w:trHeight w:val="190" w:hRule="atLeast"/>
          <w:jc w:val="center"/>
        </w:trPr>
        <w:tc>
          <w:tcPr>
            <w:tcW w:w="41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1233B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主管部门</w:t>
            </w:r>
          </w:p>
        </w:tc>
        <w:tc>
          <w:tcPr>
            <w:tcW w:w="244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84071D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自治区商务厅</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A36DF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实施单位</w:t>
            </w:r>
          </w:p>
        </w:tc>
        <w:tc>
          <w:tcPr>
            <w:tcW w:w="1864"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E907F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自治区口岸发展促进中心</w:t>
            </w:r>
          </w:p>
        </w:tc>
      </w:tr>
      <w:tr w14:paraId="77EF44F5">
        <w:trPr>
          <w:trHeight w:val="239" w:hRule="atLeast"/>
          <w:jc w:val="center"/>
        </w:trPr>
        <w:tc>
          <w:tcPr>
            <w:tcW w:w="41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EF65A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项目资金</w:t>
            </w:r>
            <w:r>
              <w:rPr>
                <w:rFonts w:hint="eastAsia" w:ascii="Times New Roman" w:hAnsi="Times New Roman" w:eastAsia="方正仿宋_GB2312" w:cs="方正仿宋_GB2312"/>
                <w:b/>
                <w:bCs/>
                <w:i w:val="0"/>
                <w:iCs w:val="0"/>
                <w:color w:val="000000"/>
                <w:kern w:val="0"/>
                <w:sz w:val="18"/>
                <w:szCs w:val="18"/>
                <w:u w:val="none"/>
                <w:lang w:val="en-US" w:eastAsia="zh-CN" w:bidi="ar"/>
              </w:rPr>
              <w:br w:type="textWrapping"/>
            </w:r>
            <w:r>
              <w:rPr>
                <w:rFonts w:hint="eastAsia" w:ascii="Times New Roman" w:hAnsi="Times New Roman" w:eastAsia="方正仿宋_GB2312" w:cs="方正仿宋_GB2312"/>
                <w:b/>
                <w:bCs/>
                <w:i w:val="0"/>
                <w:iCs w:val="0"/>
                <w:color w:val="000000"/>
                <w:kern w:val="0"/>
                <w:sz w:val="18"/>
                <w:szCs w:val="18"/>
                <w:u w:val="none"/>
                <w:lang w:val="en-US" w:eastAsia="zh-CN" w:bidi="ar"/>
              </w:rPr>
              <w:t>（万元）</w:t>
            </w:r>
          </w:p>
        </w:tc>
        <w:tc>
          <w:tcPr>
            <w:tcW w:w="1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9308D6">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4854E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年初预算数</w:t>
            </w:r>
          </w:p>
        </w:tc>
        <w:tc>
          <w:tcPr>
            <w:tcW w:w="8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C33E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全年预算数</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282E1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全年执行数</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2A5A3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分值</w:t>
            </w:r>
          </w:p>
        </w:tc>
        <w:tc>
          <w:tcPr>
            <w:tcW w:w="12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1686C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执行率</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360115">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得分</w:t>
            </w:r>
          </w:p>
        </w:tc>
      </w:tr>
      <w:tr w14:paraId="333CEBC2">
        <w:trPr>
          <w:trHeight w:val="203" w:hRule="atLeast"/>
          <w:jc w:val="center"/>
        </w:trPr>
        <w:tc>
          <w:tcPr>
            <w:tcW w:w="41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D3D9B">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0E9F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年度资金总额</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17FB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68.92</w:t>
            </w:r>
          </w:p>
        </w:tc>
        <w:tc>
          <w:tcPr>
            <w:tcW w:w="8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C4734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68.92</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2F57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68.92</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E6624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10.00</w:t>
            </w:r>
          </w:p>
        </w:tc>
        <w:tc>
          <w:tcPr>
            <w:tcW w:w="12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B8053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100.00%</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476A0">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10.00</w:t>
            </w:r>
          </w:p>
        </w:tc>
      </w:tr>
      <w:tr w14:paraId="2C461A21">
        <w:trPr>
          <w:trHeight w:val="191" w:hRule="atLeast"/>
          <w:jc w:val="center"/>
        </w:trPr>
        <w:tc>
          <w:tcPr>
            <w:tcW w:w="41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D4EAB9">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F6BBC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其中：当年财政拨款</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63EA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68.92</w:t>
            </w:r>
          </w:p>
        </w:tc>
        <w:tc>
          <w:tcPr>
            <w:tcW w:w="8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736DA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68.92</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EF4E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68.92</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E10D2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w:t>
            </w:r>
          </w:p>
        </w:tc>
        <w:tc>
          <w:tcPr>
            <w:tcW w:w="12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56AD5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D145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w:t>
            </w:r>
          </w:p>
        </w:tc>
      </w:tr>
      <w:tr w14:paraId="6AC1EC3E">
        <w:trPr>
          <w:trHeight w:val="152" w:hRule="atLeast"/>
          <w:jc w:val="center"/>
        </w:trPr>
        <w:tc>
          <w:tcPr>
            <w:tcW w:w="41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A9078E">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21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7817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其他资金</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D7366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0.00</w:t>
            </w:r>
          </w:p>
        </w:tc>
        <w:tc>
          <w:tcPr>
            <w:tcW w:w="85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DFE5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0.00</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5F5B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633A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w:t>
            </w:r>
          </w:p>
        </w:tc>
        <w:tc>
          <w:tcPr>
            <w:tcW w:w="123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98D248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43253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w:t>
            </w:r>
          </w:p>
        </w:tc>
      </w:tr>
      <w:tr w14:paraId="75D3BA23">
        <w:trPr>
          <w:trHeight w:val="185" w:hRule="atLeast"/>
          <w:jc w:val="center"/>
        </w:trPr>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6BE6B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年度总体目标</w:t>
            </w:r>
          </w:p>
        </w:tc>
        <w:tc>
          <w:tcPr>
            <w:tcW w:w="263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7E4807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预期目标</w:t>
            </w:r>
          </w:p>
        </w:tc>
        <w:tc>
          <w:tcPr>
            <w:tcW w:w="214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E024F1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实际完成情况</w:t>
            </w:r>
          </w:p>
        </w:tc>
      </w:tr>
      <w:tr w14:paraId="7E23A8CD">
        <w:trPr>
          <w:trHeight w:val="298"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4EA82">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2633"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AE3337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根据自治区机关事务管理局《关于申请配置国有资产的复函》（〔2024〕135号）文件相关要求，购置办公设备和办公家具以满足日常办公需要。</w:t>
            </w:r>
          </w:p>
        </w:tc>
        <w:tc>
          <w:tcPr>
            <w:tcW w:w="2148"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8F36DE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已购置办公设备69台，办公家具135件，满足了单位日常办公需要。</w:t>
            </w:r>
          </w:p>
        </w:tc>
      </w:tr>
      <w:tr w14:paraId="5DFB9C24">
        <w:trPr>
          <w:trHeight w:val="312" w:hRule="atLeast"/>
          <w:jc w:val="center"/>
        </w:trPr>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3DB960">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944A0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一级指标</w:t>
            </w:r>
          </w:p>
        </w:tc>
        <w:tc>
          <w:tcPr>
            <w:tcW w:w="46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E5CBC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二级指标</w:t>
            </w:r>
          </w:p>
        </w:tc>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1449F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三级指标</w:t>
            </w:r>
          </w:p>
        </w:tc>
        <w:tc>
          <w:tcPr>
            <w:tcW w:w="37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E2C9F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权重</w:t>
            </w:r>
          </w:p>
        </w:tc>
        <w:tc>
          <w:tcPr>
            <w:tcW w:w="43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5B72A0">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目标值</w:t>
            </w:r>
          </w:p>
        </w:tc>
        <w:tc>
          <w:tcPr>
            <w:tcW w:w="4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778D15">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业绩值</w:t>
            </w:r>
          </w:p>
        </w:tc>
        <w:tc>
          <w:tcPr>
            <w:tcW w:w="28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162AA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完成率</w:t>
            </w:r>
          </w:p>
        </w:tc>
        <w:tc>
          <w:tcPr>
            <w:tcW w:w="2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0F615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指标得分</w:t>
            </w:r>
          </w:p>
        </w:tc>
        <w:tc>
          <w:tcPr>
            <w:tcW w:w="3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28113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指标值设定依据</w:t>
            </w:r>
          </w:p>
        </w:tc>
        <w:tc>
          <w:tcPr>
            <w:tcW w:w="2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528D8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上年完成情况</w:t>
            </w:r>
          </w:p>
        </w:tc>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15157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赋分规则</w:t>
            </w:r>
          </w:p>
        </w:tc>
        <w:tc>
          <w:tcPr>
            <w:tcW w:w="3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11B05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佐证资料</w:t>
            </w:r>
          </w:p>
        </w:tc>
        <w:tc>
          <w:tcPr>
            <w:tcW w:w="42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F3B44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偏差原因分析及改进措施</w:t>
            </w:r>
          </w:p>
        </w:tc>
      </w:tr>
      <w:tr w14:paraId="78BDA0FF">
        <w:trPr>
          <w:trHeight w:val="312"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2240D2">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6068F">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46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CB1D4">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D7C374">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37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6B1F7">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43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5563E">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4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3E5FD">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28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BA2263">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2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2D734">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3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540189">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2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3B78D9">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A4A8D">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3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51BF3C">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42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C0A87D">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r>
      <w:tr w14:paraId="0767139B">
        <w:trPr>
          <w:trHeight w:val="348" w:hRule="atLeast"/>
          <w:jc w:val="center"/>
        </w:trPr>
        <w:tc>
          <w:tcPr>
            <w:tcW w:w="2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98C67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年度绩效指标完成情况</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3751E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产出指标</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283C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数量指标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CB051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购买计算机数量（包括台式和便携式计算机）</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DBC41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4C7F2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&lt;=27台</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0EC8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=27台</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265E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3E81F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C427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计划标准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C252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37AC7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C74F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B6FF62">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260AEC26">
        <w:trPr>
          <w:trHeight w:val="298"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56FD63">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428647">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33149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数量指标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290EC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购买办公桌数量（不含会议室和开放办公区）</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8E584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4AAA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&lt;=13张</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2BE0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=13张</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7BE35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43E38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74C3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计划标准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204ECC">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70553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4A25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02E723">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7FC79DFA">
        <w:trPr>
          <w:trHeight w:val="298"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89F0F2">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B632ED">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BB44E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质量指标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7987F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采购的设备和家具合格率</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D2FD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87135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&gt;=95%</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BAAC1">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BE49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7163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B55B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其他标准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42096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DAA1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74728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F84969">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555A263B">
        <w:trPr>
          <w:trHeight w:val="298"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337A2">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1D5F36">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31424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时效指标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0471A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采购完成时限</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96DB2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B967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=60工作日</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373E6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=60工作日</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7EEF0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798E5">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8773D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计划标准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1FD475">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2AFCA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06231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7E1CD">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3AD63C40">
        <w:trPr>
          <w:trHeight w:val="298"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3230F">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BB161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成本指标</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631A5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经济成本指标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34AA3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总采购费用</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EDF68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7266C">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&lt;=68.92万元</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2C87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=68.92万元</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2A30C">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0A2D3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12FDC">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其他标准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D1D8F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30F8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4DEC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A3823C">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66DCA99D">
        <w:trPr>
          <w:trHeight w:val="298"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3BA8D9">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5B217">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9824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经济成本指标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F2B53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会议室家具采购费用</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941A4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5</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E1E7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&lt;=11万元</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D7CAE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=11万元</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ABCBB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D2FAD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5</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1E929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其他标准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FFDC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635C0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3412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7C356">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0E6FF446">
        <w:trPr>
          <w:trHeight w:val="298"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0344DA">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453C58">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C2C9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经济成本指标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01D90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接待室家具采购费用</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B624C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5</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ECC6E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&lt;=8.08万元</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FE5C6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=8.08万元</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01A91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B9E58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5</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21752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其他标准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D0A3A5">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EE34B">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F8EC6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D1D39">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7070900B">
        <w:trPr>
          <w:trHeight w:val="265"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D4361">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E1BD3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效益指标</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8C90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社会效益指标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910A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促进口岸工作发展</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82B73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20</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A74B53">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有效促进</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4FC1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有效促进</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3920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AB5BA7">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20</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B529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其他标准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6B4A2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8DC09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4EFB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B24A3">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41840105">
        <w:trPr>
          <w:trHeight w:val="382" w:hRule="atLeast"/>
          <w:jc w:val="center"/>
        </w:trPr>
        <w:tc>
          <w:tcPr>
            <w:tcW w:w="2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96EFB5">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46A109">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满意度指标</w:t>
            </w:r>
          </w:p>
        </w:tc>
        <w:tc>
          <w:tcPr>
            <w:tcW w:w="4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0404EC">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满意度指标</w:t>
            </w:r>
          </w:p>
        </w:tc>
        <w:tc>
          <w:tcPr>
            <w:tcW w:w="74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5BB09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全体干部满意度</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A230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43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A3B085">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&gt;=95%</w:t>
            </w: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57CE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=95%</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FDA378">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A0F92A">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5FE7DF">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其他标准</w:t>
            </w: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003A4">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0</w:t>
            </w: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BB9126">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直接赋分</w:t>
            </w: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61882">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工作资料</w:t>
            </w: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CAE10">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r w14:paraId="76C81895">
        <w:trPr>
          <w:trHeight w:val="304" w:hRule="atLeast"/>
          <w:jc w:val="center"/>
        </w:trPr>
        <w:tc>
          <w:tcPr>
            <w:tcW w:w="1622" w:type="pct"/>
            <w:gridSpan w:val="4"/>
            <w:tcBorders>
              <w:top w:val="single" w:color="000000" w:sz="4" w:space="0"/>
              <w:left w:val="single" w:color="000000" w:sz="4" w:space="0"/>
              <w:bottom w:val="single" w:color="000000" w:sz="4" w:space="0"/>
              <w:right w:val="nil"/>
            </w:tcBorders>
            <w:shd w:val="clear" w:color="auto" w:fill="auto"/>
            <w:vAlign w:val="center"/>
          </w:tcPr>
          <w:p w14:paraId="480B2B0E">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b/>
                <w:bCs/>
                <w:i w:val="0"/>
                <w:iCs w:val="0"/>
                <w:color w:val="000000"/>
                <w:sz w:val="18"/>
                <w:szCs w:val="18"/>
                <w:u w:val="none"/>
              </w:rPr>
            </w:pPr>
            <w:r>
              <w:rPr>
                <w:rFonts w:hint="eastAsia" w:ascii="Times New Roman" w:hAnsi="Times New Roman" w:eastAsia="方正仿宋_GB2312" w:cs="方正仿宋_GB2312"/>
                <w:b/>
                <w:bCs/>
                <w:i w:val="0"/>
                <w:iCs w:val="0"/>
                <w:color w:val="000000"/>
                <w:kern w:val="0"/>
                <w:sz w:val="18"/>
                <w:szCs w:val="18"/>
                <w:u w:val="none"/>
                <w:lang w:val="en-US" w:eastAsia="zh-CN" w:bidi="ar"/>
              </w:rPr>
              <w:t>总分</w:t>
            </w:r>
          </w:p>
        </w:tc>
        <w:tc>
          <w:tcPr>
            <w:tcW w:w="3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18D72D">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w:t>
            </w:r>
          </w:p>
        </w:tc>
        <w:tc>
          <w:tcPr>
            <w:tcW w:w="434" w:type="pct"/>
            <w:tcBorders>
              <w:top w:val="single" w:color="000000" w:sz="4" w:space="0"/>
              <w:left w:val="nil"/>
              <w:bottom w:val="single" w:color="000000" w:sz="4" w:space="0"/>
              <w:right w:val="single" w:color="000000" w:sz="4" w:space="0"/>
            </w:tcBorders>
            <w:shd w:val="clear" w:color="auto" w:fill="auto"/>
            <w:vAlign w:val="center"/>
          </w:tcPr>
          <w:p w14:paraId="65992AC8">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b/>
                <w:bCs/>
                <w:i w:val="0"/>
                <w:iCs w:val="0"/>
                <w:color w:val="000000"/>
                <w:sz w:val="18"/>
                <w:szCs w:val="18"/>
                <w:u w:val="none"/>
              </w:rPr>
            </w:pPr>
          </w:p>
        </w:tc>
        <w:tc>
          <w:tcPr>
            <w:tcW w:w="4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1DEF43">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2F6DF0">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20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DA6AD0">
            <w:pPr>
              <w:keepNext w:val="0"/>
              <w:keepLines w:val="0"/>
              <w:pageBreakBefore w:val="0"/>
              <w:widowControl/>
              <w:suppressLineNumbers w:val="0"/>
              <w:kinsoku/>
              <w:wordWrap/>
              <w:overflowPunct/>
              <w:topLinePunct w:val="0"/>
              <w:autoSpaceDE/>
              <w:autoSpaceDN/>
              <w:bidi w:val="0"/>
              <w:adjustRightInd/>
              <w:snapToGrid/>
              <w:spacing w:after="0" w:line="220" w:lineRule="exact"/>
              <w:jc w:val="center"/>
              <w:textAlignment w:val="center"/>
              <w:rPr>
                <w:rFonts w:hint="eastAsia" w:ascii="Times New Roman" w:hAnsi="Times New Roman" w:eastAsia="方正仿宋_GB2312" w:cs="方正仿宋_GB2312"/>
                <w:i w:val="0"/>
                <w:iCs w:val="0"/>
                <w:color w:val="000000"/>
                <w:sz w:val="18"/>
                <w:szCs w:val="18"/>
                <w:u w:val="none"/>
              </w:rPr>
            </w:pPr>
            <w:r>
              <w:rPr>
                <w:rFonts w:hint="eastAsia" w:ascii="Times New Roman" w:hAnsi="Times New Roman" w:eastAsia="方正仿宋_GB2312" w:cs="方正仿宋_GB2312"/>
                <w:i w:val="0"/>
                <w:iCs w:val="0"/>
                <w:color w:val="000000"/>
                <w:kern w:val="0"/>
                <w:sz w:val="18"/>
                <w:szCs w:val="18"/>
                <w:u w:val="none"/>
                <w:lang w:val="en-US" w:eastAsia="zh-CN" w:bidi="ar"/>
              </w:rPr>
              <w:t>100.00分</w:t>
            </w:r>
          </w:p>
        </w:tc>
        <w:tc>
          <w:tcPr>
            <w:tcW w:w="3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40D9A3">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2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96A28">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FD91AA">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3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AE2426">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c>
          <w:tcPr>
            <w:tcW w:w="4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D26536">
            <w:pPr>
              <w:keepNext w:val="0"/>
              <w:keepLines w:val="0"/>
              <w:pageBreakBefore w:val="0"/>
              <w:widowControl/>
              <w:kinsoku/>
              <w:wordWrap/>
              <w:overflowPunct/>
              <w:topLinePunct w:val="0"/>
              <w:autoSpaceDE/>
              <w:autoSpaceDN/>
              <w:bidi w:val="0"/>
              <w:adjustRightInd/>
              <w:snapToGrid/>
              <w:spacing w:after="0" w:line="220" w:lineRule="exact"/>
              <w:jc w:val="center"/>
              <w:rPr>
                <w:rFonts w:hint="eastAsia" w:ascii="Times New Roman" w:hAnsi="Times New Roman" w:eastAsia="方正仿宋_GB2312" w:cs="方正仿宋_GB2312"/>
                <w:i w:val="0"/>
                <w:iCs w:val="0"/>
                <w:color w:val="000000"/>
                <w:sz w:val="18"/>
                <w:szCs w:val="18"/>
                <w:u w:val="none"/>
              </w:rPr>
            </w:pPr>
          </w:p>
        </w:tc>
      </w:tr>
    </w:tbl>
    <w:p w14:paraId="6A83254F">
      <w:pPr>
        <w:keepNext w:val="0"/>
        <w:keepLines w:val="0"/>
        <w:pageBreakBefore w:val="0"/>
        <w:widowControl/>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sectPr>
          <w:pgSz w:w="15840" w:h="12240" w:orient="landscape"/>
          <w:pgMar w:top="1803" w:right="1440" w:bottom="1803" w:left="1440" w:header="720" w:footer="720" w:gutter="0"/>
          <w:pgNumType w:fmt="numberInDash"/>
          <w:cols w:space="720" w:num="1"/>
        </w:sectPr>
      </w:pPr>
    </w:p>
    <w:p w14:paraId="1194B34D">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十二、其他需说明的事项</w:t>
      </w:r>
    </w:p>
    <w:p w14:paraId="1F450554">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本单位无其他需说明事项。</w:t>
      </w:r>
    </w:p>
    <w:p w14:paraId="4ED7448E">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p>
    <w:p w14:paraId="4286BF5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200"/>
        <w:jc w:val="both"/>
        <w:textAlignment w:val="auto"/>
        <w:rPr>
          <w:rFonts w:ascii="Times New Roman" w:hAnsi="Times New Roman"/>
          <w:b w:val="0"/>
          <w:bCs w:val="0"/>
          <w:lang w:eastAsia="zh-CN"/>
        </w:rPr>
      </w:pPr>
      <w:r>
        <w:rPr>
          <w:rFonts w:ascii="Times New Roman" w:hAnsi="Times New Roman"/>
          <w:b w:val="0"/>
          <w:bCs w:val="0"/>
          <w:sz w:val="0"/>
          <w:szCs w:val="0"/>
          <w:lang w:eastAsia="zh-CN"/>
        </w:rPr>
        <w:br w:type="page"/>
      </w:r>
    </w:p>
    <w:p w14:paraId="44765029">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center"/>
        <w:textAlignment w:val="auto"/>
        <w:outlineLvl w:val="0"/>
        <w:rPr>
          <w:rFonts w:ascii="Times New Roman" w:hAnsi="Times New Roman" w:eastAsia="黑体"/>
          <w:b w:val="0"/>
          <w:bCs w:val="0"/>
          <w:sz w:val="32"/>
          <w:szCs w:val="32"/>
          <w:lang w:eastAsia="zh-CN"/>
        </w:rPr>
      </w:pPr>
      <w:r>
        <w:rPr>
          <w:rFonts w:ascii="Times New Roman" w:hAnsi="Times New Roman" w:eastAsia="黑体"/>
          <w:b w:val="0"/>
          <w:bCs w:val="0"/>
          <w:sz w:val="32"/>
          <w:szCs w:val="32"/>
          <w:lang w:eastAsia="zh-CN"/>
        </w:rPr>
        <w:t>第三部分</w:t>
      </w:r>
      <w:r>
        <w:rPr>
          <w:rFonts w:hint="default"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专业名词解释</w:t>
      </w:r>
    </w:p>
    <w:p w14:paraId="44C393E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一、财政拨款收入：指同级财政当年拨付的资金。</w:t>
      </w:r>
    </w:p>
    <w:p w14:paraId="7571E894">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二、上级补助收入：指事业单位从主管部门和上级单位取得的非财政补助收入。</w:t>
      </w:r>
    </w:p>
    <w:p w14:paraId="5A368030">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事业收入：指事业单位开展专业业务活动及其辅助活动所取得的收入。</w:t>
      </w:r>
    </w:p>
    <w:p w14:paraId="0254E200">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经营收入：指事业单位在专业业务活动及其辅助活动之外开展非独立核算经营活动取得的收入。</w:t>
      </w:r>
    </w:p>
    <w:p w14:paraId="4497E45A">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附属单位上缴收入：指事业单位附属的独立核算单位按有关规定上缴的收入。</w:t>
      </w:r>
    </w:p>
    <w:p w14:paraId="19E57858">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其他收入：指除上述“财政拨款收入”、“事业收入”、</w:t>
      </w:r>
    </w:p>
    <w:p w14:paraId="46E431F9">
      <w:pPr>
        <w:keepNext w:val="0"/>
        <w:keepLines w:val="0"/>
        <w:pageBreakBefore w:val="0"/>
        <w:widowControl/>
        <w:numPr>
          <w:ilvl w:val="0"/>
          <w:numId w:val="0"/>
        </w:numPr>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“经营收入”、“附属单位上缴收入”等之外取得的收入。</w:t>
      </w:r>
    </w:p>
    <w:p w14:paraId="7F381FE1">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年初结转和结余：指以前年度支出预算因客观条件变化未执行完毕、结转到本年度按有关规定继续使用的资金，既包括财政拨款结转和结余，也包括事业收入、经营收入、其他收入的结转和结余。</w:t>
      </w:r>
    </w:p>
    <w:p w14:paraId="3F03752D">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C8C2032">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基本支出：指为保障机构正常运转、完成日常工作任务而发生的人员支出和公用支出。</w:t>
      </w:r>
    </w:p>
    <w:p w14:paraId="652A7944">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项目支出：指在基本支出之外为完成特定行政任务和事业发展目标所发生的支出。</w:t>
      </w:r>
    </w:p>
    <w:p w14:paraId="55E72FC7">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经营支出：指事业单位在专业业务活动及其辅助活动之外开展非独立核算经营活动发生的支出。</w:t>
      </w:r>
    </w:p>
    <w:p w14:paraId="56B2BB2C">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对附属单位补助支出：指事业单位发生的用非财政预算资金对附属单位的补助支出。</w:t>
      </w:r>
    </w:p>
    <w:p w14:paraId="5515DA67">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“三公”经费：指用财政拨款安排的因公出国（境）</w:t>
      </w:r>
    </w:p>
    <w:p w14:paraId="68DEB6F6">
      <w:pPr>
        <w:keepNext w:val="0"/>
        <w:keepLines w:val="0"/>
        <w:pageBreakBefore w:val="0"/>
        <w:widowControl/>
        <w:numPr>
          <w:ilvl w:val="0"/>
          <w:numId w:val="0"/>
        </w:numPr>
        <w:kinsoku/>
        <w:wordWrap/>
        <w:overflowPunct/>
        <w:topLinePunct w:val="0"/>
        <w:autoSpaceDE/>
        <w:autoSpaceDN/>
        <w:bidi w:val="0"/>
        <w:adjustRightInd/>
        <w:snapToGrid/>
        <w:spacing w:after="0" w:line="560" w:lineRule="exact"/>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F2E7FD9">
      <w:pPr>
        <w:keepNext w:val="0"/>
        <w:keepLines w:val="0"/>
        <w:pageBreakBefore w:val="0"/>
        <w:widowControl/>
        <w:numPr>
          <w:ilvl w:val="0"/>
          <w:numId w:val="1"/>
        </w:numPr>
        <w:kinsoku/>
        <w:wordWrap/>
        <w:overflowPunct/>
        <w:topLinePunct w:val="0"/>
        <w:autoSpaceDE/>
        <w:autoSpaceDN/>
        <w:bidi w:val="0"/>
        <w:adjustRightInd/>
        <w:snapToGrid/>
        <w:spacing w:after="0" w:line="560" w:lineRule="exact"/>
        <w:ind w:left="0" w:leftChars="0" w:firstLine="640" w:firstLineChars="200"/>
        <w:jc w:val="both"/>
        <w:textAlignment w:val="auto"/>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机关运行经费：行政单位和参照公务员法管理的事业单位财政拨款基本支出中的公用经费支出。</w:t>
      </w:r>
    </w:p>
    <w:p w14:paraId="1B5EAF5E">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center"/>
        <w:textAlignment w:val="auto"/>
        <w:rPr>
          <w:rFonts w:ascii="Times New Roman" w:hAnsi="Times New Roman" w:eastAsia="黑体"/>
          <w:b w:val="0"/>
          <w:bCs w:val="0"/>
          <w:sz w:val="32"/>
          <w:szCs w:val="32"/>
          <w:lang w:eastAsia="zh-CN"/>
        </w:rPr>
      </w:pPr>
      <w:r>
        <w:rPr>
          <w:rFonts w:ascii="Times New Roman" w:hAnsi="Times New Roman"/>
          <w:b w:val="0"/>
          <w:bCs w:val="0"/>
          <w:sz w:val="0"/>
          <w:szCs w:val="0"/>
          <w:lang w:eastAsia="zh-CN"/>
        </w:rPr>
        <w:br w:type="page"/>
      </w:r>
      <w:r>
        <w:rPr>
          <w:rFonts w:ascii="Times New Roman" w:hAnsi="Times New Roman" w:eastAsia="黑体"/>
          <w:b w:val="0"/>
          <w:bCs w:val="0"/>
          <w:sz w:val="32"/>
          <w:szCs w:val="32"/>
          <w:lang w:eastAsia="zh-CN"/>
        </w:rPr>
        <w:t>第四部分</w:t>
      </w:r>
      <w:r>
        <w:rPr>
          <w:rFonts w:hint="default" w:ascii="Times New Roman" w:hAnsi="Times New Roman" w:eastAsia="黑体"/>
          <w:b w:val="0"/>
          <w:bCs w:val="0"/>
          <w:sz w:val="32"/>
          <w:szCs w:val="32"/>
          <w:lang w:val="en-US" w:eastAsia="zh-CN"/>
        </w:rPr>
        <w:t xml:space="preserve"> </w:t>
      </w:r>
      <w:r>
        <w:rPr>
          <w:rFonts w:ascii="Times New Roman" w:hAnsi="Times New Roman" w:eastAsia="黑体"/>
          <w:b w:val="0"/>
          <w:bCs w:val="0"/>
          <w:sz w:val="32"/>
          <w:szCs w:val="32"/>
          <w:lang w:eastAsia="zh-CN"/>
        </w:rPr>
        <w:t>部门决算报表（见附表）</w:t>
      </w:r>
    </w:p>
    <w:p w14:paraId="463FAB1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一、《收入支出决算总表》</w:t>
      </w:r>
    </w:p>
    <w:p w14:paraId="31A37E60">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二、《收入决算表》</w:t>
      </w:r>
    </w:p>
    <w:p w14:paraId="7CC9536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三、《支出决算表》</w:t>
      </w:r>
    </w:p>
    <w:p w14:paraId="64A49CFC">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四、《财政拨款收入支出决算总表》</w:t>
      </w:r>
    </w:p>
    <w:p w14:paraId="068CC9F8">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五、《一般公共预算财政拨款支出决算表》</w:t>
      </w:r>
    </w:p>
    <w:p w14:paraId="5E39AFAB">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六、《一般公共预算财政拨款基本支出决算表》</w:t>
      </w:r>
    </w:p>
    <w:p w14:paraId="55C237EF">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七、《政府性基金预算财政拨款收入支出决算表》</w:t>
      </w:r>
    </w:p>
    <w:p w14:paraId="4AF932BA">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八、《国有资本经营预算财政拨款收入支出决算表》</w:t>
      </w:r>
    </w:p>
    <w:p w14:paraId="5DA769E4">
      <w:pPr>
        <w:keepNext w:val="0"/>
        <w:keepLines w:val="0"/>
        <w:pageBreakBefore w:val="0"/>
        <w:widowControl/>
        <w:kinsoku/>
        <w:wordWrap/>
        <w:overflowPunct/>
        <w:topLinePunct w:val="0"/>
        <w:autoSpaceDE/>
        <w:autoSpaceDN/>
        <w:bidi w:val="0"/>
        <w:adjustRightInd/>
        <w:snapToGrid/>
        <w:spacing w:after="0" w:line="560" w:lineRule="exact"/>
        <w:ind w:left="0" w:leftChars="0" w:firstLine="640" w:firstLineChars="200"/>
        <w:jc w:val="both"/>
        <w:textAlignment w:val="auto"/>
        <w:outlineLvl w:val="1"/>
        <w:rPr>
          <w:rFonts w:ascii="Times New Roman" w:hAnsi="Times New Roman" w:eastAsia="仿宋_GB2312"/>
          <w:b w:val="0"/>
          <w:bCs w:val="0"/>
          <w:sz w:val="32"/>
          <w:szCs w:val="32"/>
          <w:lang w:eastAsia="zh-CN"/>
        </w:rPr>
      </w:pPr>
      <w:r>
        <w:rPr>
          <w:rFonts w:ascii="Times New Roman" w:hAnsi="Times New Roman" w:eastAsia="仿宋_GB2312"/>
          <w:b w:val="0"/>
          <w:bCs w:val="0"/>
          <w:sz w:val="32"/>
          <w:szCs w:val="32"/>
          <w:lang w:eastAsia="zh-CN"/>
        </w:rPr>
        <w:t>九、《财政拨款“三公”经费支出决算表》</w:t>
      </w:r>
    </w:p>
    <w:sectPr>
      <w:pgSz w:w="12240" w:h="15840"/>
      <w:pgMar w:top="1440" w:right="1803" w:bottom="1440" w:left="1803" w:header="720" w:footer="720"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roman"/>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Songti SC">
    <w:panose1 w:val="02010800040101010101"/>
    <w:charset w:val="86"/>
    <w:family w:val="auto"/>
    <w:pitch w:val="default"/>
    <w:sig w:usb0="00000001" w:usb1="080F0000" w:usb2="00000000" w:usb3="00000000" w:csb0="00040000" w:csb1="00000000"/>
  </w:font>
  <w:font w:name="Heiti SC Medium">
    <w:panose1 w:val="02000000000000000000"/>
    <w:charset w:val="86"/>
    <w:family w:val="auto"/>
    <w:pitch w:val="default"/>
    <w:sig w:usb0="8000002F" w:usb1="0800004A" w:usb2="00000000" w:usb3="00000000" w:csb0="203E0000" w:csb1="00000000"/>
  </w:font>
  <w:font w:name="黑体-简">
    <w:panose1 w:val="02000000000000000000"/>
    <w:charset w:val="86"/>
    <w:family w:val="auto"/>
    <w:pitch w:val="default"/>
    <w:sig w:usb0="8000002F" w:usb1="0800004A" w:usb2="00000000" w:usb3="00000000" w:csb0="203E0000" w:csb1="00000000"/>
  </w:font>
  <w:font w:name="Times New Roman Regular">
    <w:panose1 w:val="02020503050405090304"/>
    <w:charset w:val="00"/>
    <w:family w:val="auto"/>
    <w:pitch w:val="default"/>
    <w:sig w:usb0="E0000AFF" w:usb1="00007843" w:usb2="00000001" w:usb3="00000000" w:csb0="400001BF" w:csb1="DFF70000"/>
  </w:font>
  <w:font w:name="Calibri Light">
    <w:altName w:val="Helvetica Neue"/>
    <w:panose1 w:val="020F0302020204030204"/>
    <w:charset w:val="00"/>
    <w:family w:val="swiss"/>
    <w:pitch w:val="default"/>
    <w:sig w:usb0="00000000" w:usb1="00000000" w:usb2="00000009" w:usb3="00000000" w:csb0="000001FF" w:csb1="00000000"/>
  </w:font>
  <w:font w:name="方正小标宋_GBK">
    <w:altName w:val="方正小标宋简体"/>
    <w:panose1 w:val="03000509000000000000"/>
    <w:charset w:val="86"/>
    <w:family w:val="script"/>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2312">
    <w:panose1 w:val="02000000000000000000"/>
    <w:charset w:val="86"/>
    <w:family w:val="auto"/>
    <w:pitch w:val="default"/>
    <w:sig w:usb0="A00002BF" w:usb1="184F6CFA" w:usb2="00000012" w:usb3="00000000" w:csb0="00040001"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小标宋简体">
    <w:panose1 w:val="0201060001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44572">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D5FFFA">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BD5FFFA">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FE79F8"/>
    <w:multiLevelType w:val="singleLevel"/>
    <w:tmpl w:val="BEFE79F8"/>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F20"/>
    <w:rsid w:val="003D1F20"/>
    <w:rsid w:val="004D5E2D"/>
    <w:rsid w:val="0B7F29E7"/>
    <w:rsid w:val="397BFDBB"/>
    <w:rsid w:val="3EFF3AA5"/>
    <w:rsid w:val="5D971525"/>
    <w:rsid w:val="77D8B18E"/>
    <w:rsid w:val="77FE42F2"/>
    <w:rsid w:val="78F415DD"/>
    <w:rsid w:val="79DF91BD"/>
    <w:rsid w:val="7DBF986E"/>
    <w:rsid w:val="7F73319C"/>
    <w:rsid w:val="7F77816C"/>
    <w:rsid w:val="AF7AA3BC"/>
    <w:rsid w:val="BA2F4622"/>
    <w:rsid w:val="C7FF8AAD"/>
    <w:rsid w:val="D97FF177"/>
    <w:rsid w:val="DF9F230F"/>
    <w:rsid w:val="DFF62782"/>
    <w:rsid w:val="E71F4B78"/>
    <w:rsid w:val="EF7E6F57"/>
    <w:rsid w:val="FB3F94B7"/>
    <w:rsid w:val="FBBF23C1"/>
    <w:rsid w:val="FCDF51EE"/>
    <w:rsid w:val="FF4D3666"/>
    <w:rsid w:val="FFBF4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15">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8">
    <w:name w:val="footer"/>
    <w:basedOn w:val="1"/>
    <w:semiHidden/>
    <w:unhideWhenUsed/>
    <w:uiPriority w:val="99"/>
    <w:pPr>
      <w:tabs>
        <w:tab w:val="center" w:pos="4153"/>
        <w:tab w:val="right" w:pos="8306"/>
      </w:tabs>
      <w:snapToGrid w:val="0"/>
      <w:jc w:val="left"/>
    </w:pPr>
    <w:rPr>
      <w:sz w:val="18"/>
    </w:rPr>
  </w:style>
  <w:style w:type="paragraph" w:styleId="9">
    <w:name w:val="header"/>
    <w:basedOn w:val="1"/>
    <w:link w:val="18"/>
    <w:unhideWhenUsed/>
    <w:uiPriority w:val="99"/>
    <w:pPr>
      <w:tabs>
        <w:tab w:val="center" w:pos="4680"/>
        <w:tab w:val="right" w:pos="9360"/>
      </w:tabs>
    </w:pPr>
  </w:style>
  <w:style w:type="paragraph" w:styleId="10">
    <w:name w:val="toc 1"/>
    <w:basedOn w:val="1"/>
    <w:next w:val="1"/>
    <w:qFormat/>
    <w:uiPriority w:val="0"/>
  </w:style>
  <w:style w:type="paragraph" w:styleId="11">
    <w:name w:val="Subtitle"/>
    <w:basedOn w:val="1"/>
    <w:next w:val="1"/>
    <w:link w:val="23"/>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paragraph" w:styleId="12">
    <w:name w:val="Title"/>
    <w:basedOn w:val="1"/>
    <w:next w:val="1"/>
    <w:link w:val="24"/>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table" w:styleId="14">
    <w:name w:val="Table Grid"/>
    <w:basedOn w:val="1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unhideWhenUsed/>
    <w:uiPriority w:val="99"/>
    <w:rPr>
      <w:color w:val="0563C1" w:themeColor="hyperlink"/>
      <w:u w:val="single"/>
      <w14:textFill>
        <w14:solidFill>
          <w14:schemeClr w14:val="hlink"/>
        </w14:solidFill>
      </w14:textFill>
    </w:rPr>
  </w:style>
  <w:style w:type="character" w:customStyle="1" w:styleId="18">
    <w:name w:val="页眉 Char"/>
    <w:basedOn w:val="15"/>
    <w:link w:val="9"/>
    <w:uiPriority w:val="99"/>
  </w:style>
  <w:style w:type="character" w:customStyle="1" w:styleId="19">
    <w:name w:val="标题 1 Char"/>
    <w:basedOn w:val="15"/>
    <w:link w:val="2"/>
    <w:uiPriority w:val="9"/>
    <w:rPr>
      <w:rFonts w:asciiTheme="majorHAnsi" w:hAnsiTheme="majorHAnsi" w:eastAsiaTheme="majorEastAsia" w:cstheme="majorBidi"/>
      <w:b/>
      <w:bCs/>
      <w:color w:val="2E75B6" w:themeColor="accent1" w:themeShade="BF"/>
      <w:sz w:val="28"/>
      <w:szCs w:val="28"/>
    </w:rPr>
  </w:style>
  <w:style w:type="character" w:customStyle="1" w:styleId="20">
    <w:name w:val="标题 2 Char"/>
    <w:basedOn w:val="15"/>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21">
    <w:name w:val="标题 3 Char"/>
    <w:basedOn w:val="15"/>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2">
    <w:name w:val="标题 4 Char"/>
    <w:basedOn w:val="15"/>
    <w:link w:val="5"/>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3">
    <w:name w:val="副标题 Char"/>
    <w:basedOn w:val="15"/>
    <w:link w:val="11"/>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4">
    <w:name w:val="标题 Char"/>
    <w:basedOn w:val="15"/>
    <w:link w:val="12"/>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5949</Words>
  <Characters>6715</Characters>
  <Lines>42</Lines>
  <Paragraphs>12</Paragraphs>
  <TotalTime>29</TotalTime>
  <ScaleCrop>false</ScaleCrop>
  <LinksUpToDate>false</LinksUpToDate>
  <CharactersWithSpaces>6725</CharactersWithSpaces>
  <Application>WPS Office_7.5.1.8994_F1E327BC-269C-435d-A152-05C5408002CA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2025-08-31T03:58:00Z</dcterms:created>
  <dc:creator>CWC</dc:creator>
  <cp:lastModifiedBy>BaRnaaaa</cp:lastModifiedBy>
  <dcterms:modified xsi:type="dcterms:W3CDTF">2025-08-28T18:19:06Z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2052-7.5.1.8994</vt:lpwstr>
  </property>
  <property fmtid="{D5CDD505-2E9C-101B-9397-08002B2CF9AE}" pid="3" name="ICV">
    <vt:lpwstr>B27A8F398EA6E24A329CAD68C6D90E04_42</vt:lpwstr>
  </property>
</Properties>
</file>