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p>
    <w:p>
      <w:pPr>
        <w:jc w:val="center"/>
        <w:rPr>
          <w:rFonts w:eastAsia="方正小标宋_GBK"/>
          <w:sz w:val="44"/>
          <w:szCs w:val="44"/>
        </w:rPr>
      </w:pPr>
    </w:p>
    <w:p>
      <w:pPr>
        <w:jc w:val="center"/>
        <w:rPr>
          <w:rFonts w:eastAsia="方正小标宋_GBK"/>
          <w:sz w:val="44"/>
          <w:szCs w:val="44"/>
        </w:rPr>
      </w:pPr>
      <w:r>
        <w:rPr>
          <w:rFonts w:eastAsia="方正小标宋_GBK"/>
          <w:sz w:val="44"/>
          <w:szCs w:val="44"/>
        </w:rPr>
        <w:t>新疆维吾尔自治区区外投资企业服务中心</w:t>
      </w:r>
    </w:p>
    <w:p>
      <w:pPr>
        <w:jc w:val="center"/>
        <w:rPr>
          <w:rFonts w:eastAsia="方正小标宋_GBK"/>
          <w:sz w:val="44"/>
          <w:szCs w:val="44"/>
        </w:rPr>
      </w:pPr>
      <w:r>
        <w:rPr>
          <w:rFonts w:eastAsia="方正小标宋_GBK"/>
          <w:sz w:val="44"/>
          <w:szCs w:val="44"/>
        </w:rPr>
        <w:t xml:space="preserve"> 2023年度部门决算</w:t>
      </w:r>
    </w:p>
    <w:p>
      <w:pPr>
        <w:jc w:val="center"/>
        <w:rPr>
          <w:rFonts w:eastAsia="方正小标宋_GBK"/>
          <w:sz w:val="44"/>
          <w:szCs w:val="44"/>
        </w:rPr>
      </w:pPr>
      <w:r>
        <w:rPr>
          <w:rFonts w:eastAsia="方正小标宋_GBK"/>
          <w:sz w:val="44"/>
          <w:szCs w:val="44"/>
        </w:rPr>
        <w:t>公开说明</w:t>
      </w:r>
    </w:p>
    <w:p>
      <w:pPr>
        <w:rPr>
          <w:rFonts w:eastAsia="方正小标宋_GBK"/>
          <w:sz w:val="44"/>
          <w:szCs w:val="44"/>
        </w:rPr>
      </w:pPr>
      <w:r>
        <w:rPr>
          <w:rFonts w:eastAsia="方正小标宋_GBK"/>
          <w:sz w:val="44"/>
          <w:szCs w:val="44"/>
        </w:rPr>
        <w:br w:type="page"/>
      </w:r>
    </w:p>
    <w:p>
      <w:pPr>
        <w:jc w:val="center"/>
        <w:rPr>
          <w:rFonts w:eastAsia="仿宋_GB2312"/>
          <w:bCs/>
          <w:kern w:val="0"/>
          <w:sz w:val="32"/>
          <w:szCs w:val="32"/>
        </w:rPr>
      </w:pPr>
      <w:r>
        <w:rPr>
          <w:rFonts w:eastAsia="仿宋_GB2312"/>
          <w:b/>
          <w:kern w:val="0"/>
          <w:sz w:val="36"/>
          <w:szCs w:val="36"/>
        </w:rPr>
        <w:t>目  录</w:t>
      </w:r>
    </w:p>
    <w:p>
      <w:pPr>
        <w:pStyle w:val="6"/>
        <w:tabs>
          <w:tab w:val="right" w:pos="8306"/>
        </w:tabs>
        <w:rPr>
          <w:rFonts w:eastAsia="仿宋_GB2312"/>
          <w:b/>
          <w:bCs/>
          <w:sz w:val="32"/>
          <w:szCs w:val="32"/>
        </w:rPr>
      </w:pPr>
      <w:r>
        <w:rPr>
          <w:rFonts w:eastAsia="仿宋_GB2312"/>
          <w:sz w:val="32"/>
          <w:szCs w:val="32"/>
        </w:rPr>
        <w:fldChar w:fldCharType="begin"/>
      </w:r>
      <w:r>
        <w:rPr>
          <w:rFonts w:eastAsia="仿宋_GB2312"/>
          <w:sz w:val="32"/>
          <w:szCs w:val="32"/>
        </w:rPr>
        <w:instrText xml:space="preserve">TOC \o "1-3" \n  \h \u </w:instrText>
      </w:r>
      <w:r>
        <w:rPr>
          <w:rFonts w:eastAsia="仿宋_GB2312"/>
          <w:sz w:val="32"/>
          <w:szCs w:val="32"/>
        </w:rPr>
        <w:fldChar w:fldCharType="separate"/>
      </w:r>
      <w:r>
        <w:fldChar w:fldCharType="begin"/>
      </w:r>
      <w:r>
        <w:instrText xml:space="preserve"> HYPERLINK \l "_Toc32314" </w:instrText>
      </w:r>
      <w:r>
        <w:fldChar w:fldCharType="separate"/>
      </w:r>
      <w:r>
        <w:rPr>
          <w:rFonts w:eastAsia="仿宋_GB2312"/>
          <w:b/>
          <w:bCs/>
          <w:sz w:val="32"/>
          <w:szCs w:val="32"/>
        </w:rPr>
        <w:t>第一部分 单位概况</w:t>
      </w:r>
      <w:r>
        <w:rPr>
          <w:rFonts w:eastAsia="仿宋_GB2312"/>
          <w:b/>
          <w:bCs/>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"_Toc30567" </w:instrText>
      </w:r>
      <w:r>
        <w:fldChar w:fldCharType="separate"/>
      </w:r>
      <w:r>
        <w:rPr>
          <w:rFonts w:eastAsia="仿宋_GB2312"/>
          <w:bCs/>
          <w:kern w:val="0"/>
          <w:sz w:val="32"/>
          <w:szCs w:val="32"/>
        </w:rPr>
        <w:t>一、主要职能</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"_Toc2151" </w:instrText>
      </w:r>
      <w:r>
        <w:fldChar w:fldCharType="separate"/>
      </w:r>
      <w:r>
        <w:rPr>
          <w:rFonts w:eastAsia="仿宋_GB2312"/>
          <w:bCs/>
          <w:kern w:val="0"/>
          <w:sz w:val="32"/>
          <w:szCs w:val="32"/>
        </w:rPr>
        <w:t>二、机构设置及人员情况</w:t>
      </w:r>
      <w:r>
        <w:rPr>
          <w:rFonts w:eastAsia="仿宋_GB2312"/>
          <w:bCs/>
          <w:kern w:val="0"/>
          <w:sz w:val="32"/>
          <w:szCs w:val="32"/>
        </w:rPr>
        <w:fldChar w:fldCharType="end"/>
      </w:r>
    </w:p>
    <w:p>
      <w:pPr>
        <w:pStyle w:val="6"/>
        <w:tabs>
          <w:tab w:val="right" w:pos="8306"/>
        </w:tabs>
        <w:rPr>
          <w:rFonts w:eastAsia="仿宋_GB2312"/>
          <w:b/>
          <w:bCs/>
          <w:sz w:val="32"/>
          <w:szCs w:val="32"/>
        </w:rPr>
      </w:pPr>
      <w:r>
        <w:fldChar w:fldCharType="begin"/>
      </w:r>
      <w:r>
        <w:instrText xml:space="preserve"> HYPERLINK \l "_Toc29374" </w:instrText>
      </w:r>
      <w:r>
        <w:fldChar w:fldCharType="separate"/>
      </w:r>
      <w:r>
        <w:rPr>
          <w:rFonts w:eastAsia="仿宋_GB2312"/>
          <w:b/>
          <w:bCs/>
          <w:sz w:val="32"/>
          <w:szCs w:val="32"/>
        </w:rPr>
        <w:t>第二部分 部门决算情况说明</w:t>
      </w:r>
      <w:r>
        <w:rPr>
          <w:rFonts w:eastAsia="仿宋_GB2312"/>
          <w:b/>
          <w:bCs/>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"_Toc25314" </w:instrText>
      </w:r>
      <w:r>
        <w:fldChar w:fldCharType="separate"/>
      </w:r>
      <w:r>
        <w:rPr>
          <w:rFonts w:eastAsia="仿宋_GB2312"/>
          <w:bCs/>
          <w:kern w:val="0"/>
          <w:sz w:val="32"/>
          <w:szCs w:val="32"/>
        </w:rPr>
        <w:t>一、收入支出决算总体情况说明</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"_Toc12142" </w:instrText>
      </w:r>
      <w:r>
        <w:fldChar w:fldCharType="separate"/>
      </w:r>
      <w:r>
        <w:rPr>
          <w:rFonts w:eastAsia="仿宋_GB2312"/>
          <w:bCs/>
          <w:kern w:val="0"/>
          <w:sz w:val="32"/>
          <w:szCs w:val="32"/>
        </w:rPr>
        <w:t>二、收入决算情况说明</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"_Toc13201" </w:instrText>
      </w:r>
      <w:r>
        <w:fldChar w:fldCharType="separate"/>
      </w:r>
      <w:r>
        <w:rPr>
          <w:rFonts w:eastAsia="仿宋_GB2312"/>
          <w:bCs/>
          <w:kern w:val="0"/>
          <w:sz w:val="32"/>
          <w:szCs w:val="32"/>
        </w:rPr>
        <w:t>三、支出决算情况说明</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"_Toc26564" </w:instrText>
      </w:r>
      <w:r>
        <w:fldChar w:fldCharType="separate"/>
      </w:r>
      <w:r>
        <w:rPr>
          <w:rFonts w:eastAsia="仿宋_GB2312"/>
          <w:bCs/>
          <w:kern w:val="0"/>
          <w:sz w:val="32"/>
          <w:szCs w:val="32"/>
        </w:rPr>
        <w:t>四、财政拨款收入支出决算总体情况说明</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"_Toc20360" </w:instrText>
      </w:r>
      <w:r>
        <w:fldChar w:fldCharType="separate"/>
      </w:r>
      <w:r>
        <w:rPr>
          <w:rFonts w:eastAsia="仿宋_GB2312"/>
          <w:bCs/>
          <w:kern w:val="0"/>
          <w:sz w:val="32"/>
          <w:szCs w:val="32"/>
        </w:rPr>
        <w:t>五、一般公共预算财政拨款支出决算情况说明</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"_Toc30870" </w:instrText>
      </w:r>
      <w:r>
        <w:fldChar w:fldCharType="separate"/>
      </w:r>
      <w:r>
        <w:rPr>
          <w:rFonts w:eastAsia="仿宋_GB2312"/>
          <w:bCs/>
          <w:kern w:val="0"/>
          <w:sz w:val="32"/>
          <w:szCs w:val="32"/>
        </w:rPr>
        <w:t>六、一般公共预算财政拨款基本支出决算情况说明</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"_Toc21518" </w:instrText>
      </w:r>
      <w:r>
        <w:fldChar w:fldCharType="separate"/>
      </w:r>
      <w:r>
        <w:rPr>
          <w:rFonts w:eastAsia="仿宋_GB2312"/>
          <w:bCs/>
          <w:kern w:val="0"/>
          <w:sz w:val="32"/>
          <w:szCs w:val="32"/>
        </w:rPr>
        <w:t>七、财政拨款“三公”经费支出决算情况说明</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"_Toc5810" </w:instrText>
      </w:r>
      <w:r>
        <w:fldChar w:fldCharType="separate"/>
      </w:r>
      <w:r>
        <w:rPr>
          <w:rFonts w:eastAsia="仿宋_GB2312"/>
          <w:bCs/>
          <w:kern w:val="0"/>
          <w:sz w:val="32"/>
          <w:szCs w:val="32"/>
        </w:rPr>
        <w:t>八、政府性基金预算财政拨款收入支出决算情况说明</w:t>
      </w:r>
      <w:r>
        <w:rPr>
          <w:rFonts w:eastAsia="仿宋_GB2312"/>
          <w:bCs/>
          <w:kern w:val="0"/>
          <w:sz w:val="32"/>
          <w:szCs w:val="32"/>
        </w:rPr>
        <w:fldChar w:fldCharType="end"/>
      </w:r>
    </w:p>
    <w:p>
      <w:r>
        <w:fldChar w:fldCharType="begin"/>
      </w:r>
      <w:r>
        <w:instrText xml:space="preserve"> HYPERLINK \l "_Toc5810" </w:instrText>
      </w:r>
      <w:r>
        <w:fldChar w:fldCharType="separate"/>
      </w:r>
      <w:r>
        <w:rPr>
          <w:rFonts w:eastAsia="仿宋_GB2312"/>
          <w:bCs/>
          <w:kern w:val="0"/>
          <w:sz w:val="32"/>
          <w:szCs w:val="32"/>
        </w:rPr>
        <w:t>九、国有资本经营预算财政拨款收入支出决算情况说明</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"_Toc1235" </w:instrText>
      </w:r>
      <w:r>
        <w:fldChar w:fldCharType="separate"/>
      </w:r>
      <w:r>
        <w:rPr>
          <w:rFonts w:eastAsia="仿宋_GB2312"/>
          <w:sz w:val="32"/>
          <w:szCs w:val="32"/>
        </w:rPr>
        <w:t>十</w:t>
      </w:r>
      <w:r>
        <w:rPr>
          <w:rFonts w:eastAsia="仿宋_GB2312"/>
          <w:bCs/>
          <w:kern w:val="0"/>
          <w:sz w:val="32"/>
          <w:szCs w:val="32"/>
        </w:rPr>
        <w:t>、其他重要事项的情况说明</w:t>
      </w:r>
      <w:r>
        <w:rPr>
          <w:rFonts w:eastAsia="仿宋_GB2312"/>
          <w:bCs/>
          <w:kern w:val="0"/>
          <w:sz w:val="32"/>
          <w:szCs w:val="32"/>
        </w:rPr>
        <w:fldChar w:fldCharType="end"/>
      </w:r>
    </w:p>
    <w:p>
      <w:pPr>
        <w:pStyle w:val="3"/>
        <w:tabs>
          <w:tab w:val="right" w:pos="8306"/>
        </w:tabs>
        <w:ind w:left="0" w:leftChars="0"/>
        <w:rPr>
          <w:rFonts w:eastAsia="仿宋_GB2312"/>
          <w:sz w:val="32"/>
          <w:szCs w:val="32"/>
        </w:rPr>
      </w:pPr>
      <w:r>
        <w:fldChar w:fldCharType="begin"/>
      </w:r>
      <w:r>
        <w:instrText xml:space="preserve"> HYPERLINK \l "_Toc14519" </w:instrText>
      </w:r>
      <w:r>
        <w:fldChar w:fldCharType="separate"/>
      </w:r>
      <w:r>
        <w:rPr>
          <w:rFonts w:eastAsia="仿宋_GB2312"/>
          <w:sz w:val="32"/>
          <w:szCs w:val="32"/>
        </w:rPr>
        <w:t>（一）机关运行经费支出情况</w:t>
      </w:r>
      <w:r>
        <w:rPr>
          <w:rFonts w:eastAsia="仿宋_GB2312"/>
          <w:sz w:val="32"/>
          <w:szCs w:val="32"/>
        </w:rPr>
        <w:fldChar w:fldCharType="end"/>
      </w:r>
    </w:p>
    <w:p>
      <w:pPr>
        <w:pStyle w:val="3"/>
        <w:tabs>
          <w:tab w:val="right" w:pos="8306"/>
        </w:tabs>
        <w:ind w:left="0" w:leftChars="0"/>
        <w:rPr>
          <w:rFonts w:eastAsia="仿宋_GB2312"/>
          <w:sz w:val="32"/>
          <w:szCs w:val="32"/>
        </w:rPr>
      </w:pPr>
      <w:r>
        <w:fldChar w:fldCharType="begin"/>
      </w:r>
      <w:r>
        <w:instrText xml:space="preserve"> HYPERLINK \l "_Toc227" </w:instrText>
      </w:r>
      <w:r>
        <w:fldChar w:fldCharType="separate"/>
      </w:r>
      <w:r>
        <w:rPr>
          <w:rFonts w:eastAsia="仿宋_GB2312"/>
          <w:sz w:val="32"/>
          <w:szCs w:val="32"/>
        </w:rPr>
        <w:t>（二）政府采购情况</w:t>
      </w:r>
      <w:r>
        <w:rPr>
          <w:rFonts w:eastAsia="仿宋_GB2312"/>
          <w:sz w:val="32"/>
          <w:szCs w:val="32"/>
        </w:rPr>
        <w:fldChar w:fldCharType="end"/>
      </w:r>
    </w:p>
    <w:p>
      <w:pPr>
        <w:pStyle w:val="3"/>
        <w:tabs>
          <w:tab w:val="right" w:pos="8306"/>
        </w:tabs>
        <w:ind w:left="0" w:leftChars="0"/>
        <w:rPr>
          <w:rFonts w:eastAsia="仿宋_GB2312"/>
          <w:sz w:val="32"/>
          <w:szCs w:val="32"/>
        </w:rPr>
      </w:pPr>
      <w:r>
        <w:fldChar w:fldCharType="begin"/>
      </w:r>
      <w:r>
        <w:instrText xml:space="preserve"> HYPERLINK \l "_Toc8391" </w:instrText>
      </w:r>
      <w:r>
        <w:fldChar w:fldCharType="separate"/>
      </w:r>
      <w:r>
        <w:rPr>
          <w:rFonts w:eastAsia="仿宋_GB2312"/>
          <w:sz w:val="32"/>
          <w:szCs w:val="32"/>
        </w:rPr>
        <w:t>（三）国有资产占用情况说明</w:t>
      </w:r>
      <w:r>
        <w:rPr>
          <w:rFonts w:eastAsia="仿宋_GB2312"/>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"_Toc11283" </w:instrText>
      </w:r>
      <w:r>
        <w:fldChar w:fldCharType="separate"/>
      </w:r>
      <w:r>
        <w:rPr>
          <w:rFonts w:eastAsia="仿宋_GB2312"/>
          <w:bCs/>
          <w:kern w:val="0"/>
          <w:sz w:val="32"/>
          <w:szCs w:val="32"/>
        </w:rPr>
        <w:t>十一、预算绩效的情况说明</w:t>
      </w:r>
      <w:r>
        <w:rPr>
          <w:rFonts w:eastAsia="仿宋_GB2312"/>
          <w:bCs/>
          <w:kern w:val="0"/>
          <w:sz w:val="32"/>
          <w:szCs w:val="32"/>
        </w:rPr>
        <w:fldChar w:fldCharType="end"/>
      </w:r>
    </w:p>
    <w:p>
      <w:pPr>
        <w:pStyle w:val="7"/>
        <w:tabs>
          <w:tab w:val="right" w:pos="8306"/>
        </w:tabs>
        <w:ind w:left="0" w:leftChars="0"/>
        <w:rPr>
          <w:rFonts w:eastAsia="仿宋_GB2312"/>
          <w:sz w:val="32"/>
          <w:szCs w:val="32"/>
        </w:rPr>
      </w:pPr>
      <w:r>
        <w:rPr>
          <w:rFonts w:eastAsia="仿宋_GB2312"/>
          <w:sz w:val="32"/>
          <w:szCs w:val="32"/>
        </w:rPr>
        <w:t>十二、其他需说明的事项</w:t>
      </w:r>
    </w:p>
    <w:p>
      <w:pPr>
        <w:pStyle w:val="6"/>
        <w:tabs>
          <w:tab w:val="right" w:pos="8306"/>
        </w:tabs>
        <w:rPr>
          <w:rFonts w:eastAsia="仿宋_GB2312"/>
          <w:b/>
          <w:bCs/>
          <w:sz w:val="32"/>
          <w:szCs w:val="32"/>
        </w:rPr>
      </w:pPr>
      <w:r>
        <w:fldChar w:fldCharType="begin"/>
      </w:r>
      <w:r>
        <w:instrText xml:space="preserve"> HYPERLINK \l "_Toc3250" </w:instrText>
      </w:r>
      <w:r>
        <w:fldChar w:fldCharType="separate"/>
      </w:r>
      <w:r>
        <w:rPr>
          <w:rFonts w:eastAsia="仿宋_GB2312"/>
          <w:b/>
          <w:bCs/>
          <w:sz w:val="32"/>
          <w:szCs w:val="32"/>
        </w:rPr>
        <w:t>第三部分 专业名词解释</w:t>
      </w:r>
      <w:r>
        <w:rPr>
          <w:rFonts w:eastAsia="仿宋_GB2312"/>
          <w:b/>
          <w:bCs/>
          <w:sz w:val="32"/>
          <w:szCs w:val="32"/>
        </w:rPr>
        <w:fldChar w:fldCharType="end"/>
      </w:r>
    </w:p>
    <w:p>
      <w:pPr>
        <w:pStyle w:val="6"/>
        <w:tabs>
          <w:tab w:val="right" w:pos="8306"/>
        </w:tabs>
        <w:rPr>
          <w:rFonts w:eastAsia="仿宋_GB2312"/>
          <w:b/>
          <w:bCs/>
          <w:sz w:val="32"/>
          <w:szCs w:val="32"/>
        </w:rPr>
      </w:pPr>
      <w:r>
        <w:fldChar w:fldCharType="begin"/>
      </w:r>
      <w:r>
        <w:instrText xml:space="preserve"> HYPERLINK \l "_Toc22784" </w:instrText>
      </w:r>
      <w:r>
        <w:fldChar w:fldCharType="separate"/>
      </w:r>
      <w:r>
        <w:rPr>
          <w:rFonts w:eastAsia="仿宋_GB2312"/>
          <w:b/>
          <w:bCs/>
          <w:sz w:val="32"/>
          <w:szCs w:val="32"/>
        </w:rPr>
        <w:t>第四部分 部门决算报表（见附表）</w:t>
      </w:r>
      <w:r>
        <w:rPr>
          <w:rFonts w:eastAsia="仿宋_GB2312"/>
          <w:b/>
          <w:bCs/>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"_Toc2183" </w:instrText>
      </w:r>
      <w:r>
        <w:fldChar w:fldCharType="separate"/>
      </w:r>
      <w:r>
        <w:rPr>
          <w:rFonts w:eastAsia="仿宋_GB2312"/>
          <w:bCs/>
          <w:kern w:val="0"/>
          <w:sz w:val="32"/>
          <w:szCs w:val="32"/>
        </w:rPr>
        <w:t>一、《收入支出决算总表》</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"_Toc24532" </w:instrText>
      </w:r>
      <w:r>
        <w:fldChar w:fldCharType="separate"/>
      </w:r>
      <w:r>
        <w:rPr>
          <w:rFonts w:eastAsia="仿宋_GB2312"/>
          <w:bCs/>
          <w:kern w:val="0"/>
          <w:sz w:val="32"/>
          <w:szCs w:val="32"/>
        </w:rPr>
        <w:t>二、《收入决算表》</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"_Toc32434" </w:instrText>
      </w:r>
      <w:r>
        <w:fldChar w:fldCharType="separate"/>
      </w:r>
      <w:r>
        <w:rPr>
          <w:rFonts w:eastAsia="仿宋_GB2312"/>
          <w:bCs/>
          <w:kern w:val="0"/>
          <w:sz w:val="32"/>
          <w:szCs w:val="32"/>
        </w:rPr>
        <w:t>三、《支出决算表》</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"_Toc28786" </w:instrText>
      </w:r>
      <w:r>
        <w:fldChar w:fldCharType="separate"/>
      </w:r>
      <w:r>
        <w:rPr>
          <w:rFonts w:eastAsia="仿宋_GB2312"/>
          <w:bCs/>
          <w:kern w:val="0"/>
          <w:sz w:val="32"/>
          <w:szCs w:val="32"/>
        </w:rPr>
        <w:t>四、《财政拨款收入支出决算总表》</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"_Toc14869" </w:instrText>
      </w:r>
      <w:r>
        <w:fldChar w:fldCharType="separate"/>
      </w:r>
      <w:r>
        <w:rPr>
          <w:rFonts w:eastAsia="仿宋_GB2312"/>
          <w:bCs/>
          <w:kern w:val="0"/>
          <w:sz w:val="32"/>
          <w:szCs w:val="32"/>
        </w:rPr>
        <w:t>五、《一般公共预算财政拨款支出决算表》</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"_Toc8884" </w:instrText>
      </w:r>
      <w:r>
        <w:fldChar w:fldCharType="separate"/>
      </w:r>
      <w:r>
        <w:rPr>
          <w:rFonts w:eastAsia="仿宋_GB2312"/>
          <w:bCs/>
          <w:kern w:val="0"/>
          <w:sz w:val="32"/>
          <w:szCs w:val="32"/>
        </w:rPr>
        <w:t>六、《一般公共预算财政拨款基本支出决算表》</w:t>
      </w:r>
      <w:r>
        <w:rPr>
          <w:rFonts w:eastAsia="仿宋_GB2312"/>
          <w:bCs/>
          <w:kern w:val="0"/>
          <w:sz w:val="32"/>
          <w:szCs w:val="32"/>
        </w:rPr>
        <w:fldChar w:fldCharType="end"/>
      </w:r>
    </w:p>
    <w:p>
      <w:pPr>
        <w:pStyle w:val="7"/>
        <w:tabs>
          <w:tab w:val="right" w:pos="8306"/>
        </w:tabs>
        <w:ind w:left="0" w:leftChars="0"/>
        <w:rPr>
          <w:rFonts w:eastAsia="仿宋_GB2312"/>
          <w:sz w:val="32"/>
          <w:szCs w:val="32"/>
        </w:rPr>
      </w:pPr>
      <w:r>
        <w:fldChar w:fldCharType="begin"/>
      </w:r>
      <w:r>
        <w:instrText xml:space="preserve"> HYPERLINK \l "_Toc29106" </w:instrText>
      </w:r>
      <w:r>
        <w:fldChar w:fldCharType="separate"/>
      </w:r>
      <w:r>
        <w:rPr>
          <w:rFonts w:eastAsia="仿宋_GB2312"/>
          <w:bCs/>
          <w:kern w:val="0"/>
          <w:sz w:val="32"/>
          <w:szCs w:val="32"/>
        </w:rPr>
        <w:t>七、《财政拨款“三公”经费支出决算表》</w:t>
      </w:r>
      <w:r>
        <w:rPr>
          <w:rFonts w:eastAsia="仿宋_GB2312"/>
          <w:bCs/>
          <w:kern w:val="0"/>
          <w:sz w:val="32"/>
          <w:szCs w:val="32"/>
        </w:rPr>
        <w:fldChar w:fldCharType="end"/>
      </w:r>
    </w:p>
    <w:p>
      <w:pPr>
        <w:pStyle w:val="7"/>
        <w:tabs>
          <w:tab w:val="right" w:pos="8306"/>
        </w:tabs>
        <w:ind w:left="0" w:leftChars="0"/>
        <w:rPr>
          <w:rFonts w:eastAsia="仿宋_GB2312"/>
          <w:bCs/>
          <w:kern w:val="0"/>
          <w:sz w:val="32"/>
          <w:szCs w:val="32"/>
        </w:rPr>
      </w:pPr>
      <w:r>
        <w:fldChar w:fldCharType="begin"/>
      </w:r>
      <w:r>
        <w:instrText xml:space="preserve"> HYPERLINK \l "_Toc7643" </w:instrText>
      </w:r>
      <w:r>
        <w:fldChar w:fldCharType="separate"/>
      </w:r>
      <w:r>
        <w:rPr>
          <w:rFonts w:eastAsia="仿宋_GB2312"/>
          <w:bCs/>
          <w:kern w:val="0"/>
          <w:sz w:val="32"/>
          <w:szCs w:val="32"/>
        </w:rPr>
        <w:t>八、《政府性基金预算财政拨款收入支出决算表》</w:t>
      </w:r>
      <w:r>
        <w:rPr>
          <w:rFonts w:eastAsia="仿宋_GB2312"/>
          <w:bCs/>
          <w:kern w:val="0"/>
          <w:sz w:val="32"/>
          <w:szCs w:val="32"/>
        </w:rPr>
        <w:fldChar w:fldCharType="end"/>
      </w:r>
    </w:p>
    <w:p>
      <w:pPr>
        <w:pStyle w:val="7"/>
        <w:tabs>
          <w:tab w:val="right" w:pos="8306"/>
        </w:tabs>
        <w:ind w:left="0" w:leftChars="0"/>
        <w:rPr>
          <w:rFonts w:eastAsia="仿宋_GB2312"/>
          <w:bCs/>
          <w:kern w:val="0"/>
          <w:sz w:val="32"/>
          <w:szCs w:val="32"/>
        </w:rPr>
      </w:pPr>
      <w:r>
        <w:rPr>
          <w:rFonts w:eastAsia="仿宋_GB2312"/>
          <w:bCs/>
          <w:kern w:val="0"/>
          <w:sz w:val="32"/>
          <w:szCs w:val="32"/>
        </w:rPr>
        <w:t>九、《国有资本经营预算财政拨款收入支出决算表》</w:t>
      </w:r>
    </w:p>
    <w:p>
      <w:r>
        <w:rPr>
          <w:rFonts w:eastAsia="仿宋_GB2312"/>
          <w:sz w:val="32"/>
          <w:szCs w:val="32"/>
        </w:rPr>
        <w:fldChar w:fldCharType="end"/>
      </w:r>
    </w:p>
    <w:p>
      <w:pPr>
        <w:rPr>
          <w:rFonts w:eastAsia="仿宋_GB2312"/>
          <w:sz w:val="32"/>
          <w:szCs w:val="32"/>
        </w:rPr>
      </w:pPr>
      <w:r>
        <w:rPr>
          <w:rFonts w:eastAsia="仿宋_GB2312"/>
          <w:sz w:val="32"/>
          <w:szCs w:val="32"/>
        </w:rPr>
        <w:br w:type="page"/>
      </w:r>
    </w:p>
    <w:p>
      <w:pPr>
        <w:jc w:val="center"/>
        <w:outlineLvl w:val="0"/>
        <w:rPr>
          <w:rFonts w:eastAsia="黑体"/>
          <w:sz w:val="32"/>
          <w:szCs w:val="32"/>
        </w:rPr>
      </w:pPr>
      <w:bookmarkStart w:id="0" w:name="_Toc32314"/>
      <w:bookmarkStart w:id="1" w:name="_Toc24028"/>
      <w:r>
        <w:rPr>
          <w:rFonts w:eastAsia="黑体"/>
          <w:sz w:val="32"/>
          <w:szCs w:val="32"/>
        </w:rPr>
        <w:t>第一部分 单位概况</w:t>
      </w:r>
      <w:bookmarkEnd w:id="0"/>
      <w:bookmarkEnd w:id="1"/>
    </w:p>
    <w:p>
      <w:pPr>
        <w:ind w:firstLine="640" w:firstLineChars="200"/>
        <w:outlineLvl w:val="1"/>
        <w:rPr>
          <w:rFonts w:eastAsia="黑体"/>
          <w:bCs/>
          <w:kern w:val="0"/>
          <w:sz w:val="32"/>
          <w:szCs w:val="32"/>
        </w:rPr>
      </w:pPr>
      <w:bookmarkStart w:id="2" w:name="_Toc30567"/>
      <w:bookmarkStart w:id="3" w:name="_Toc30738"/>
      <w:r>
        <w:rPr>
          <w:rFonts w:eastAsia="黑体"/>
          <w:bCs/>
          <w:kern w:val="0"/>
          <w:sz w:val="32"/>
          <w:szCs w:val="32"/>
        </w:rPr>
        <w:t>一、主要职能</w:t>
      </w:r>
      <w:bookmarkEnd w:id="2"/>
      <w:bookmarkEnd w:id="3"/>
    </w:p>
    <w:p>
      <w:pPr>
        <w:ind w:firstLine="640" w:firstLineChars="200"/>
        <w:jc w:val="left"/>
        <w:rPr>
          <w:rFonts w:eastAsia="仿宋_GB2312"/>
          <w:sz w:val="32"/>
          <w:szCs w:val="32"/>
        </w:rPr>
      </w:pPr>
      <w:r>
        <w:rPr>
          <w:rFonts w:eastAsia="仿宋_GB2312"/>
          <w:sz w:val="32"/>
          <w:szCs w:val="32"/>
        </w:rPr>
        <w:t>我中心主要负责为区外投资企业提供投资服务，办理区外投资企业招商引资事宜，受理相关投诉、市场调查、政策咨询，相关社会服务。</w:t>
      </w:r>
    </w:p>
    <w:p>
      <w:pPr>
        <w:ind w:firstLine="640" w:firstLineChars="200"/>
        <w:outlineLvl w:val="1"/>
        <w:rPr>
          <w:rFonts w:eastAsia="黑体"/>
          <w:bCs/>
          <w:kern w:val="0"/>
          <w:sz w:val="32"/>
          <w:szCs w:val="32"/>
        </w:rPr>
      </w:pPr>
      <w:bookmarkStart w:id="4" w:name="_Toc31238"/>
      <w:bookmarkStart w:id="5" w:name="_Toc2151"/>
      <w:r>
        <w:rPr>
          <w:rFonts w:eastAsia="黑体"/>
          <w:bCs/>
          <w:kern w:val="0"/>
          <w:sz w:val="32"/>
          <w:szCs w:val="32"/>
        </w:rPr>
        <w:t>二、机构设置及</w:t>
      </w:r>
      <w:bookmarkEnd w:id="4"/>
      <w:r>
        <w:rPr>
          <w:rFonts w:eastAsia="黑体"/>
          <w:bCs/>
          <w:kern w:val="0"/>
          <w:sz w:val="32"/>
          <w:szCs w:val="32"/>
        </w:rPr>
        <w:t>人员情况</w:t>
      </w:r>
      <w:bookmarkEnd w:id="5"/>
    </w:p>
    <w:p>
      <w:pPr>
        <w:ind w:firstLine="640" w:firstLineChars="200"/>
        <w:jc w:val="left"/>
        <w:rPr>
          <w:rFonts w:eastAsia="仿宋_GB2312"/>
          <w:b/>
          <w:sz w:val="32"/>
          <w:szCs w:val="32"/>
        </w:rPr>
      </w:pPr>
      <w:r>
        <w:rPr>
          <w:rFonts w:eastAsia="仿宋_GB2312"/>
          <w:sz w:val="32"/>
          <w:szCs w:val="32"/>
        </w:rPr>
        <w:t>新疆维吾尔自治区区外投资企业服务中心2023年度，实有人数</w:t>
      </w:r>
      <w:r>
        <w:rPr>
          <w:rFonts w:eastAsia="仿宋_GB2312"/>
          <w:sz w:val="32"/>
          <w:szCs w:val="32"/>
          <w:lang w:val="zh-CN"/>
        </w:rPr>
        <w:t>5</w:t>
      </w:r>
      <w:r>
        <w:rPr>
          <w:rFonts w:eastAsia="仿宋_GB2312"/>
          <w:sz w:val="32"/>
          <w:szCs w:val="32"/>
        </w:rPr>
        <w:t>人，其中：在职人员</w:t>
      </w:r>
      <w:r>
        <w:rPr>
          <w:rFonts w:eastAsia="仿宋_GB2312"/>
          <w:sz w:val="32"/>
          <w:szCs w:val="32"/>
          <w:lang w:val="zh-CN"/>
        </w:rPr>
        <w:t>5</w:t>
      </w:r>
      <w:r>
        <w:rPr>
          <w:rFonts w:eastAsia="仿宋_GB2312"/>
          <w:sz w:val="32"/>
          <w:szCs w:val="32"/>
        </w:rPr>
        <w:t>人，离休人员</w:t>
      </w:r>
      <w:r>
        <w:rPr>
          <w:rFonts w:eastAsia="仿宋_GB2312"/>
          <w:sz w:val="32"/>
          <w:szCs w:val="32"/>
          <w:lang w:val="zh-CN"/>
        </w:rPr>
        <w:t>0</w:t>
      </w:r>
      <w:r>
        <w:rPr>
          <w:rFonts w:eastAsia="仿宋_GB2312"/>
          <w:sz w:val="32"/>
          <w:szCs w:val="32"/>
        </w:rPr>
        <w:t>人，退休人员</w:t>
      </w:r>
      <w:r>
        <w:rPr>
          <w:rFonts w:eastAsia="仿宋_GB2312"/>
          <w:sz w:val="32"/>
          <w:szCs w:val="32"/>
          <w:lang w:val="zh-CN"/>
        </w:rPr>
        <w:t>0</w:t>
      </w:r>
      <w:r>
        <w:rPr>
          <w:rFonts w:eastAsia="仿宋_GB2312"/>
          <w:sz w:val="32"/>
          <w:szCs w:val="32"/>
        </w:rPr>
        <w:t>人。</w:t>
      </w:r>
    </w:p>
    <w:p>
      <w:pPr>
        <w:ind w:firstLine="640" w:firstLineChars="200"/>
        <w:rPr>
          <w:rFonts w:eastAsia="仿宋_GB2312"/>
          <w:sz w:val="32"/>
          <w:szCs w:val="32"/>
        </w:rPr>
      </w:pPr>
      <w:r>
        <w:rPr>
          <w:rFonts w:eastAsia="仿宋_GB2312"/>
          <w:sz w:val="32"/>
          <w:szCs w:val="32"/>
        </w:rPr>
        <w:t>单位无下属预算单位，下设</w:t>
      </w:r>
      <w:r>
        <w:rPr>
          <w:rFonts w:hint="eastAsia" w:eastAsia="仿宋_GB2312"/>
          <w:sz w:val="32"/>
          <w:szCs w:val="32"/>
        </w:rPr>
        <w:t>3个</w:t>
      </w:r>
      <w:r>
        <w:rPr>
          <w:rFonts w:eastAsia="仿宋_GB2312"/>
          <w:sz w:val="32"/>
          <w:szCs w:val="32"/>
        </w:rPr>
        <w:t>科室</w:t>
      </w:r>
      <w:r>
        <w:rPr>
          <w:rFonts w:hint="eastAsia" w:eastAsia="仿宋_GB2312"/>
          <w:sz w:val="32"/>
          <w:szCs w:val="32"/>
        </w:rPr>
        <w:t>，分别为办公室、财务科、综合服务科</w:t>
      </w:r>
      <w:r>
        <w:rPr>
          <w:rFonts w:eastAsia="仿宋_GB2312"/>
          <w:sz w:val="32"/>
          <w:szCs w:val="32"/>
        </w:rPr>
        <w:t>。</w:t>
      </w:r>
    </w:p>
    <w:p>
      <w:pPr>
        <w:jc w:val="center"/>
        <w:outlineLvl w:val="0"/>
        <w:rPr>
          <w:rFonts w:eastAsia="仿宋_GB2312"/>
          <w:sz w:val="32"/>
          <w:szCs w:val="32"/>
        </w:rPr>
      </w:pPr>
      <w:bookmarkStart w:id="6" w:name="_Toc29374"/>
      <w:bookmarkStart w:id="7" w:name="_Toc3092"/>
    </w:p>
    <w:p>
      <w:pPr>
        <w:jc w:val="center"/>
        <w:outlineLvl w:val="0"/>
        <w:rPr>
          <w:rFonts w:eastAsia="仿宋_GB2312"/>
          <w:sz w:val="32"/>
          <w:szCs w:val="32"/>
        </w:rPr>
      </w:pPr>
    </w:p>
    <w:p>
      <w:pPr>
        <w:jc w:val="center"/>
        <w:outlineLvl w:val="0"/>
        <w:rPr>
          <w:rFonts w:eastAsia="仿宋_GB2312"/>
          <w:sz w:val="32"/>
          <w:szCs w:val="32"/>
        </w:rPr>
      </w:pPr>
    </w:p>
    <w:p>
      <w:pPr>
        <w:jc w:val="center"/>
        <w:outlineLvl w:val="0"/>
        <w:rPr>
          <w:rFonts w:eastAsia="仿宋_GB2312"/>
          <w:sz w:val="32"/>
          <w:szCs w:val="32"/>
        </w:rPr>
      </w:pPr>
    </w:p>
    <w:p>
      <w:pPr>
        <w:jc w:val="center"/>
        <w:outlineLvl w:val="0"/>
        <w:rPr>
          <w:rFonts w:eastAsia="仿宋_GB2312"/>
          <w:sz w:val="32"/>
          <w:szCs w:val="32"/>
        </w:rPr>
      </w:pPr>
    </w:p>
    <w:p>
      <w:pPr>
        <w:jc w:val="center"/>
        <w:outlineLvl w:val="0"/>
        <w:rPr>
          <w:rFonts w:hint="eastAsia" w:eastAsia="仿宋_GB2312"/>
          <w:sz w:val="32"/>
          <w:szCs w:val="32"/>
        </w:rPr>
      </w:pPr>
    </w:p>
    <w:p>
      <w:pPr>
        <w:jc w:val="center"/>
        <w:outlineLvl w:val="0"/>
        <w:rPr>
          <w:rFonts w:hint="eastAsia" w:eastAsia="仿宋_GB2312"/>
          <w:sz w:val="32"/>
          <w:szCs w:val="32"/>
        </w:rPr>
      </w:pPr>
    </w:p>
    <w:p>
      <w:pPr>
        <w:jc w:val="center"/>
        <w:outlineLvl w:val="0"/>
        <w:rPr>
          <w:rFonts w:eastAsia="仿宋_GB2312"/>
          <w:sz w:val="32"/>
          <w:szCs w:val="32"/>
        </w:rPr>
      </w:pPr>
    </w:p>
    <w:p>
      <w:pPr>
        <w:jc w:val="center"/>
        <w:outlineLvl w:val="0"/>
        <w:rPr>
          <w:rFonts w:eastAsia="仿宋_GB2312"/>
          <w:sz w:val="32"/>
          <w:szCs w:val="32"/>
        </w:rPr>
      </w:pPr>
    </w:p>
    <w:p>
      <w:pPr>
        <w:jc w:val="center"/>
        <w:outlineLvl w:val="0"/>
        <w:rPr>
          <w:rFonts w:eastAsia="仿宋_GB2312"/>
          <w:sz w:val="32"/>
          <w:szCs w:val="32"/>
        </w:rPr>
      </w:pPr>
    </w:p>
    <w:p>
      <w:pPr>
        <w:jc w:val="center"/>
        <w:outlineLvl w:val="0"/>
        <w:rPr>
          <w:rFonts w:eastAsia="仿宋_GB2312"/>
          <w:sz w:val="32"/>
          <w:szCs w:val="32"/>
        </w:rPr>
      </w:pPr>
    </w:p>
    <w:p>
      <w:pPr>
        <w:jc w:val="center"/>
        <w:outlineLvl w:val="0"/>
        <w:rPr>
          <w:rFonts w:eastAsia="仿宋_GB2312"/>
          <w:sz w:val="32"/>
          <w:szCs w:val="32"/>
        </w:rPr>
      </w:pPr>
    </w:p>
    <w:p>
      <w:pPr>
        <w:jc w:val="center"/>
        <w:outlineLvl w:val="0"/>
        <w:rPr>
          <w:rFonts w:eastAsia="黑体"/>
          <w:sz w:val="32"/>
          <w:szCs w:val="32"/>
        </w:rPr>
      </w:pPr>
      <w:r>
        <w:rPr>
          <w:rFonts w:eastAsia="黑体"/>
          <w:sz w:val="32"/>
          <w:szCs w:val="32"/>
        </w:rPr>
        <w:t>第二部分 部门决算情况说明</w:t>
      </w:r>
      <w:bookmarkEnd w:id="6"/>
      <w:bookmarkEnd w:id="7"/>
    </w:p>
    <w:p>
      <w:pPr>
        <w:ind w:firstLine="640" w:firstLineChars="200"/>
        <w:outlineLvl w:val="1"/>
        <w:rPr>
          <w:rFonts w:eastAsia="黑体"/>
          <w:bCs/>
          <w:kern w:val="0"/>
          <w:sz w:val="32"/>
          <w:szCs w:val="32"/>
        </w:rPr>
      </w:pPr>
      <w:bookmarkStart w:id="8" w:name="_Toc25314"/>
      <w:bookmarkStart w:id="9" w:name="_Toc12566"/>
      <w:r>
        <w:rPr>
          <w:rFonts w:eastAsia="黑体"/>
          <w:bCs/>
          <w:kern w:val="0"/>
          <w:sz w:val="32"/>
          <w:szCs w:val="32"/>
        </w:rPr>
        <w:t>一、收入支出决算总体情况说明</w:t>
      </w:r>
      <w:bookmarkEnd w:id="8"/>
      <w:bookmarkEnd w:id="9"/>
    </w:p>
    <w:p>
      <w:pPr>
        <w:ind w:firstLine="640" w:firstLineChars="200"/>
        <w:jc w:val="left"/>
        <w:rPr>
          <w:rFonts w:eastAsia="仿宋_GB2312"/>
          <w:sz w:val="32"/>
          <w:szCs w:val="32"/>
        </w:rPr>
      </w:pPr>
      <w:r>
        <w:rPr>
          <w:rFonts w:eastAsia="仿宋_GB2312"/>
          <w:sz w:val="32"/>
          <w:szCs w:val="32"/>
        </w:rPr>
        <w:t>2023年度收入总计103.84万元，其中：本年收入合计98.64万元，使用非财政拨款结余0.00万元，年初结转和结余5.20万元。</w:t>
      </w:r>
    </w:p>
    <w:p>
      <w:pPr>
        <w:ind w:firstLine="640" w:firstLineChars="200"/>
        <w:jc w:val="left"/>
        <w:rPr>
          <w:rFonts w:eastAsia="仿宋_GB2312"/>
          <w:sz w:val="32"/>
          <w:szCs w:val="32"/>
        </w:rPr>
      </w:pPr>
      <w:r>
        <w:rPr>
          <w:rFonts w:eastAsia="仿宋_GB2312"/>
          <w:sz w:val="32"/>
          <w:szCs w:val="32"/>
        </w:rPr>
        <w:t>2023年度支出总计103.84万元，其中：本年支出合计103.61万元，结余分配0.00万元，年末结转和结余0.23万元。</w:t>
      </w:r>
    </w:p>
    <w:p>
      <w:pPr>
        <w:ind w:firstLine="640" w:firstLineChars="200"/>
        <w:jc w:val="left"/>
        <w:rPr>
          <w:rFonts w:eastAsia="仿宋_GB2312"/>
          <w:sz w:val="32"/>
          <w:szCs w:val="32"/>
        </w:rPr>
      </w:pPr>
      <w:r>
        <w:rPr>
          <w:rFonts w:eastAsia="仿宋_GB2312"/>
          <w:sz w:val="32"/>
          <w:szCs w:val="32"/>
        </w:rPr>
        <w:t>收入支出总体与上年相比，</w:t>
      </w:r>
      <w:r>
        <w:rPr>
          <w:rFonts w:eastAsia="仿宋_GB2312"/>
          <w:sz w:val="32"/>
          <w:szCs w:val="32"/>
          <w:lang w:val="zh-CN"/>
        </w:rPr>
        <w:t>增加25.88万元</w:t>
      </w:r>
      <w:r>
        <w:rPr>
          <w:rFonts w:eastAsia="仿宋_GB2312"/>
          <w:sz w:val="32"/>
          <w:szCs w:val="32"/>
        </w:rPr>
        <w:t>，增长33.20%，主要原因是： 2023年调入1人，人员工资、社保及住房公积金较上年有所增加，收入支出总体增加。</w:t>
      </w:r>
    </w:p>
    <w:p>
      <w:pPr>
        <w:ind w:firstLine="640" w:firstLineChars="200"/>
        <w:jc w:val="left"/>
        <w:outlineLvl w:val="1"/>
        <w:rPr>
          <w:rFonts w:eastAsia="黑体"/>
          <w:bCs/>
          <w:kern w:val="0"/>
          <w:sz w:val="32"/>
          <w:szCs w:val="32"/>
        </w:rPr>
      </w:pPr>
      <w:bookmarkStart w:id="10" w:name="_Toc1979"/>
      <w:bookmarkStart w:id="11" w:name="_Toc12142"/>
      <w:r>
        <w:rPr>
          <w:rFonts w:eastAsia="黑体"/>
          <w:bCs/>
          <w:kern w:val="0"/>
          <w:sz w:val="32"/>
          <w:szCs w:val="32"/>
        </w:rPr>
        <w:t>二、收入决算情况说明</w:t>
      </w:r>
      <w:bookmarkEnd w:id="10"/>
      <w:bookmarkEnd w:id="11"/>
    </w:p>
    <w:p>
      <w:pPr>
        <w:ind w:firstLine="640" w:firstLineChars="200"/>
        <w:jc w:val="left"/>
        <w:rPr>
          <w:rFonts w:eastAsia="仿宋_GB2312"/>
          <w:sz w:val="32"/>
          <w:szCs w:val="32"/>
        </w:rPr>
      </w:pPr>
      <w:r>
        <w:rPr>
          <w:rFonts w:eastAsia="仿宋_GB2312"/>
          <w:sz w:val="32"/>
          <w:szCs w:val="32"/>
        </w:rPr>
        <w:t>本年收入98.64万元，其中：财政拨款收入</w:t>
      </w:r>
      <w:r>
        <w:rPr>
          <w:rFonts w:eastAsia="仿宋_GB2312"/>
          <w:sz w:val="32"/>
          <w:szCs w:val="32"/>
          <w:lang w:val="zh-CN"/>
        </w:rPr>
        <w:t>98.62</w:t>
      </w:r>
      <w:r>
        <w:rPr>
          <w:rFonts w:eastAsia="仿宋_GB2312"/>
          <w:sz w:val="32"/>
          <w:szCs w:val="32"/>
        </w:rPr>
        <w:t>万元，占</w:t>
      </w:r>
      <w:r>
        <w:rPr>
          <w:rFonts w:eastAsia="仿宋_GB2312"/>
          <w:sz w:val="32"/>
          <w:szCs w:val="32"/>
          <w:lang w:val="zh-CN"/>
        </w:rPr>
        <w:t>99.98</w:t>
      </w:r>
      <w:r>
        <w:rPr>
          <w:rFonts w:eastAsia="仿宋_GB2312"/>
          <w:sz w:val="32"/>
          <w:szCs w:val="32"/>
        </w:rPr>
        <w:t>%；上级补助收入</w:t>
      </w:r>
      <w:r>
        <w:rPr>
          <w:rFonts w:eastAsia="仿宋_GB2312"/>
          <w:sz w:val="32"/>
          <w:szCs w:val="32"/>
          <w:lang w:val="zh-CN"/>
        </w:rPr>
        <w:t>0.00</w:t>
      </w:r>
      <w:r>
        <w:rPr>
          <w:rFonts w:eastAsia="仿宋_GB2312"/>
          <w:sz w:val="32"/>
          <w:szCs w:val="32"/>
        </w:rPr>
        <w:t>万元，占</w:t>
      </w:r>
      <w:r>
        <w:rPr>
          <w:rFonts w:eastAsia="仿宋_GB2312"/>
          <w:sz w:val="32"/>
          <w:szCs w:val="32"/>
          <w:lang w:val="zh-CN"/>
        </w:rPr>
        <w:t>0.00</w:t>
      </w:r>
      <w:r>
        <w:rPr>
          <w:rFonts w:eastAsia="仿宋_GB2312"/>
          <w:sz w:val="32"/>
          <w:szCs w:val="32"/>
        </w:rPr>
        <w:t>%；事业收入</w:t>
      </w:r>
      <w:r>
        <w:rPr>
          <w:rFonts w:eastAsia="仿宋_GB2312"/>
          <w:sz w:val="32"/>
          <w:szCs w:val="32"/>
          <w:lang w:val="zh-CN"/>
        </w:rPr>
        <w:t>0.00</w:t>
      </w:r>
      <w:r>
        <w:rPr>
          <w:rFonts w:eastAsia="仿宋_GB2312"/>
          <w:sz w:val="32"/>
          <w:szCs w:val="32"/>
        </w:rPr>
        <w:t>万元，占</w:t>
      </w:r>
      <w:r>
        <w:rPr>
          <w:rFonts w:eastAsia="仿宋_GB2312"/>
          <w:sz w:val="32"/>
          <w:szCs w:val="32"/>
          <w:lang w:val="zh-CN"/>
        </w:rPr>
        <w:t>0.00</w:t>
      </w:r>
      <w:r>
        <w:rPr>
          <w:rFonts w:eastAsia="仿宋_GB2312"/>
          <w:sz w:val="32"/>
          <w:szCs w:val="32"/>
        </w:rPr>
        <w:t>%；经营收入</w:t>
      </w:r>
      <w:r>
        <w:rPr>
          <w:rFonts w:eastAsia="仿宋_GB2312"/>
          <w:sz w:val="32"/>
          <w:szCs w:val="32"/>
          <w:lang w:val="zh-CN"/>
        </w:rPr>
        <w:t>0.00</w:t>
      </w:r>
      <w:r>
        <w:rPr>
          <w:rFonts w:eastAsia="仿宋_GB2312"/>
          <w:sz w:val="32"/>
          <w:szCs w:val="32"/>
        </w:rPr>
        <w:t>万元，占</w:t>
      </w:r>
      <w:r>
        <w:rPr>
          <w:rFonts w:eastAsia="仿宋_GB2312"/>
          <w:sz w:val="32"/>
          <w:szCs w:val="32"/>
          <w:lang w:val="zh-CN"/>
        </w:rPr>
        <w:t>0.00</w:t>
      </w:r>
      <w:r>
        <w:rPr>
          <w:rFonts w:eastAsia="仿宋_GB2312"/>
          <w:sz w:val="32"/>
          <w:szCs w:val="32"/>
        </w:rPr>
        <w:t>%；附属单位上缴收入</w:t>
      </w:r>
      <w:r>
        <w:rPr>
          <w:rFonts w:eastAsia="仿宋_GB2312"/>
          <w:sz w:val="32"/>
          <w:szCs w:val="32"/>
          <w:lang w:val="zh-CN"/>
        </w:rPr>
        <w:t>0.00</w:t>
      </w:r>
      <w:r>
        <w:rPr>
          <w:rFonts w:eastAsia="仿宋_GB2312"/>
          <w:sz w:val="32"/>
          <w:szCs w:val="32"/>
        </w:rPr>
        <w:t>万元，占</w:t>
      </w:r>
      <w:r>
        <w:rPr>
          <w:rFonts w:eastAsia="仿宋_GB2312"/>
          <w:sz w:val="32"/>
          <w:szCs w:val="32"/>
          <w:lang w:val="zh-CN"/>
        </w:rPr>
        <w:t>0.00</w:t>
      </w:r>
      <w:r>
        <w:rPr>
          <w:rFonts w:eastAsia="仿宋_GB2312"/>
          <w:sz w:val="32"/>
          <w:szCs w:val="32"/>
        </w:rPr>
        <w:t>%；其他收入</w:t>
      </w:r>
      <w:r>
        <w:rPr>
          <w:rFonts w:eastAsia="仿宋_GB2312"/>
          <w:sz w:val="32"/>
          <w:szCs w:val="32"/>
          <w:lang w:val="zh-CN"/>
        </w:rPr>
        <w:t>0.02</w:t>
      </w:r>
      <w:r>
        <w:rPr>
          <w:rFonts w:eastAsia="仿宋_GB2312"/>
          <w:sz w:val="32"/>
          <w:szCs w:val="32"/>
        </w:rPr>
        <w:t>万元，占</w:t>
      </w:r>
      <w:r>
        <w:rPr>
          <w:rFonts w:eastAsia="仿宋_GB2312"/>
          <w:sz w:val="32"/>
          <w:szCs w:val="32"/>
          <w:lang w:val="zh-CN"/>
        </w:rPr>
        <w:t>0.02</w:t>
      </w:r>
      <w:r>
        <w:rPr>
          <w:rFonts w:eastAsia="仿宋_GB2312"/>
          <w:sz w:val="32"/>
          <w:szCs w:val="32"/>
        </w:rPr>
        <w:t>%。</w:t>
      </w:r>
    </w:p>
    <w:p>
      <w:pPr>
        <w:ind w:firstLine="640" w:firstLineChars="200"/>
        <w:jc w:val="left"/>
        <w:outlineLvl w:val="1"/>
        <w:rPr>
          <w:rFonts w:eastAsia="黑体"/>
          <w:bCs/>
          <w:kern w:val="0"/>
          <w:sz w:val="32"/>
          <w:szCs w:val="32"/>
        </w:rPr>
      </w:pPr>
      <w:bookmarkStart w:id="12" w:name="_Toc13201"/>
      <w:bookmarkStart w:id="13" w:name="_Toc27961"/>
      <w:r>
        <w:rPr>
          <w:rFonts w:eastAsia="黑体"/>
          <w:bCs/>
          <w:kern w:val="0"/>
          <w:sz w:val="32"/>
          <w:szCs w:val="32"/>
        </w:rPr>
        <w:t>三、支出决算情况说明</w:t>
      </w:r>
      <w:bookmarkEnd w:id="12"/>
      <w:bookmarkEnd w:id="13"/>
    </w:p>
    <w:p>
      <w:pPr>
        <w:ind w:firstLine="640" w:firstLineChars="200"/>
        <w:jc w:val="left"/>
        <w:rPr>
          <w:rFonts w:eastAsia="仿宋_GB2312"/>
          <w:sz w:val="30"/>
          <w:szCs w:val="30"/>
          <w:lang w:val="zh-CN"/>
        </w:rPr>
      </w:pPr>
      <w:r>
        <w:rPr>
          <w:rFonts w:eastAsia="仿宋_GB2312"/>
          <w:sz w:val="32"/>
          <w:szCs w:val="32"/>
          <w:lang w:val="zh-CN"/>
        </w:rPr>
        <w:t>本年支出103.61万元，其中：基本支出103.61万元，占100.00%；项目支出0.00万元，占0.00%；上缴上级支出0.00万元，占0.00%；经营支出0.00万元，占0.00%；对附属单位补助支出0.00万元，占0.00%。</w:t>
      </w:r>
    </w:p>
    <w:p>
      <w:pPr>
        <w:ind w:firstLine="640" w:firstLineChars="200"/>
        <w:jc w:val="left"/>
        <w:outlineLvl w:val="1"/>
        <w:rPr>
          <w:rFonts w:eastAsia="黑体"/>
          <w:bCs/>
          <w:kern w:val="0"/>
          <w:sz w:val="32"/>
          <w:szCs w:val="32"/>
        </w:rPr>
      </w:pPr>
      <w:bookmarkStart w:id="14" w:name="_Toc26564"/>
      <w:bookmarkStart w:id="15" w:name="_Toc4393"/>
      <w:r>
        <w:rPr>
          <w:rFonts w:eastAsia="黑体"/>
          <w:bCs/>
          <w:kern w:val="0"/>
          <w:sz w:val="32"/>
          <w:szCs w:val="32"/>
        </w:rPr>
        <w:t>四、财政拨款收入支出决算总体情况说明</w:t>
      </w:r>
      <w:bookmarkEnd w:id="14"/>
      <w:bookmarkEnd w:id="15"/>
    </w:p>
    <w:p>
      <w:pPr>
        <w:ind w:firstLine="640" w:firstLineChars="200"/>
        <w:jc w:val="left"/>
        <w:rPr>
          <w:rFonts w:eastAsia="仿宋_GB2312"/>
          <w:sz w:val="32"/>
          <w:szCs w:val="32"/>
        </w:rPr>
      </w:pPr>
      <w:r>
        <w:rPr>
          <w:rFonts w:eastAsia="仿宋_GB2312"/>
          <w:sz w:val="32"/>
          <w:szCs w:val="32"/>
        </w:rPr>
        <w:t>2023年度财政拨款收入总计</w:t>
      </w:r>
      <w:r>
        <w:rPr>
          <w:rFonts w:eastAsia="仿宋_GB2312"/>
          <w:sz w:val="32"/>
          <w:szCs w:val="32"/>
          <w:lang w:val="zh-CN"/>
        </w:rPr>
        <w:t>103.79</w:t>
      </w:r>
      <w:r>
        <w:rPr>
          <w:rFonts w:eastAsia="仿宋_GB2312"/>
          <w:sz w:val="32"/>
          <w:szCs w:val="32"/>
        </w:rPr>
        <w:t>万元，其中：年初财政拨款结转和结余</w:t>
      </w:r>
      <w:r>
        <w:rPr>
          <w:rFonts w:eastAsia="仿宋_GB2312"/>
          <w:sz w:val="32"/>
          <w:szCs w:val="32"/>
          <w:lang w:val="zh-CN"/>
        </w:rPr>
        <w:t>5.17</w:t>
      </w:r>
      <w:r>
        <w:rPr>
          <w:rFonts w:eastAsia="仿宋_GB2312"/>
          <w:sz w:val="32"/>
          <w:szCs w:val="32"/>
        </w:rPr>
        <w:t>万元，本年财政拨款收入</w:t>
      </w:r>
      <w:r>
        <w:rPr>
          <w:rFonts w:eastAsia="仿宋_GB2312"/>
          <w:sz w:val="32"/>
          <w:szCs w:val="32"/>
          <w:lang w:val="zh-CN"/>
        </w:rPr>
        <w:t>98.62</w:t>
      </w:r>
      <w:r>
        <w:rPr>
          <w:rFonts w:eastAsia="仿宋_GB2312"/>
          <w:sz w:val="32"/>
          <w:szCs w:val="32"/>
        </w:rPr>
        <w:t>万元。财政拨款支出总计</w:t>
      </w:r>
      <w:r>
        <w:rPr>
          <w:rFonts w:eastAsia="仿宋_GB2312"/>
          <w:sz w:val="32"/>
          <w:szCs w:val="32"/>
          <w:lang w:val="zh-CN"/>
        </w:rPr>
        <w:t>103.79</w:t>
      </w:r>
      <w:r>
        <w:rPr>
          <w:rFonts w:eastAsia="仿宋_GB2312"/>
          <w:sz w:val="32"/>
          <w:szCs w:val="32"/>
        </w:rPr>
        <w:t>万元，其中：年末财政拨款结转和结余</w:t>
      </w:r>
      <w:r>
        <w:rPr>
          <w:rFonts w:eastAsia="仿宋_GB2312"/>
          <w:sz w:val="32"/>
          <w:szCs w:val="32"/>
          <w:lang w:val="zh-CN"/>
        </w:rPr>
        <w:t>0.22</w:t>
      </w:r>
      <w:r>
        <w:rPr>
          <w:rFonts w:eastAsia="仿宋_GB2312"/>
          <w:sz w:val="32"/>
          <w:szCs w:val="32"/>
        </w:rPr>
        <w:t>万元，本年财政拨款支出</w:t>
      </w:r>
      <w:r>
        <w:rPr>
          <w:rFonts w:eastAsia="仿宋_GB2312"/>
          <w:sz w:val="32"/>
          <w:szCs w:val="32"/>
          <w:lang w:val="zh-CN"/>
        </w:rPr>
        <w:t>103.57</w:t>
      </w:r>
      <w:r>
        <w:rPr>
          <w:rFonts w:eastAsia="仿宋_GB2312"/>
          <w:sz w:val="32"/>
          <w:szCs w:val="32"/>
        </w:rPr>
        <w:t>万元。</w:t>
      </w:r>
    </w:p>
    <w:p>
      <w:pPr>
        <w:ind w:firstLine="640" w:firstLineChars="200"/>
        <w:jc w:val="left"/>
        <w:rPr>
          <w:rFonts w:eastAsia="仿宋_GB2312"/>
          <w:sz w:val="32"/>
          <w:szCs w:val="32"/>
        </w:rPr>
      </w:pPr>
      <w:r>
        <w:rPr>
          <w:rFonts w:eastAsia="仿宋_GB2312"/>
          <w:sz w:val="32"/>
          <w:szCs w:val="32"/>
        </w:rPr>
        <w:t>财政拨款收入支出总体与上年相比,</w:t>
      </w:r>
      <w:r>
        <w:rPr>
          <w:rFonts w:eastAsia="仿宋_GB2312"/>
          <w:sz w:val="32"/>
          <w:szCs w:val="32"/>
          <w:lang w:val="zh-CN"/>
        </w:rPr>
        <w:t>增加25.89万元</w:t>
      </w:r>
      <w:r>
        <w:rPr>
          <w:rFonts w:eastAsia="仿宋_GB2312"/>
          <w:sz w:val="32"/>
          <w:szCs w:val="32"/>
        </w:rPr>
        <w:t>，增长33.23%,主要原因是：2023年调入1人，人员工资、社保及住房公积金较上年有所增加，收入支出总体增加。与年初预算相比，年初预算数</w:t>
      </w:r>
      <w:r>
        <w:rPr>
          <w:rFonts w:eastAsia="仿宋_GB2312"/>
          <w:sz w:val="32"/>
          <w:szCs w:val="32"/>
          <w:lang w:val="zh-CN"/>
        </w:rPr>
        <w:t>80.74</w:t>
      </w:r>
      <w:r>
        <w:rPr>
          <w:rFonts w:eastAsia="仿宋_GB2312"/>
          <w:sz w:val="32"/>
          <w:szCs w:val="32"/>
        </w:rPr>
        <w:t>万元，决算数</w:t>
      </w:r>
      <w:r>
        <w:rPr>
          <w:rFonts w:eastAsia="仿宋_GB2312"/>
          <w:sz w:val="32"/>
          <w:szCs w:val="32"/>
          <w:lang w:val="zh-CN"/>
        </w:rPr>
        <w:t>103.79</w:t>
      </w:r>
      <w:r>
        <w:rPr>
          <w:rFonts w:eastAsia="仿宋_GB2312"/>
          <w:sz w:val="32"/>
          <w:szCs w:val="32"/>
        </w:rPr>
        <w:t>万元，预决算差异率28.55%，主要原因是：年中追加基础绩效奖和年终一次性奖金。</w:t>
      </w:r>
    </w:p>
    <w:p>
      <w:pPr>
        <w:ind w:firstLine="640" w:firstLineChars="200"/>
        <w:jc w:val="left"/>
        <w:outlineLvl w:val="1"/>
        <w:rPr>
          <w:rFonts w:eastAsia="黑体"/>
          <w:bCs/>
          <w:kern w:val="0"/>
          <w:sz w:val="32"/>
          <w:szCs w:val="32"/>
        </w:rPr>
      </w:pPr>
      <w:bookmarkStart w:id="16" w:name="_Toc20360"/>
      <w:bookmarkStart w:id="17" w:name="_Toc13833"/>
      <w:r>
        <w:rPr>
          <w:rFonts w:eastAsia="黑体"/>
          <w:bCs/>
          <w:kern w:val="0"/>
          <w:sz w:val="32"/>
          <w:szCs w:val="32"/>
        </w:rPr>
        <w:t>五、一般公共预算财政拨款支出决算情况说明</w:t>
      </w:r>
      <w:bookmarkEnd w:id="16"/>
      <w:bookmarkEnd w:id="17"/>
    </w:p>
    <w:p>
      <w:pPr>
        <w:ind w:firstLine="640" w:firstLineChars="200"/>
        <w:jc w:val="left"/>
        <w:outlineLvl w:val="2"/>
        <w:rPr>
          <w:rFonts w:eastAsia="黑体"/>
          <w:sz w:val="32"/>
          <w:szCs w:val="32"/>
        </w:rPr>
      </w:pPr>
      <w:r>
        <w:rPr>
          <w:rFonts w:eastAsia="黑体"/>
          <w:sz w:val="32"/>
          <w:szCs w:val="32"/>
        </w:rPr>
        <w:t>（一）一般公共预算财政拨款支出决算总体情况</w:t>
      </w:r>
    </w:p>
    <w:p>
      <w:pPr>
        <w:spacing w:line="600" w:lineRule="exact"/>
        <w:ind w:firstLine="640" w:firstLineChars="200"/>
        <w:jc w:val="left"/>
        <w:rPr>
          <w:rFonts w:eastAsia="仿宋_GB2312"/>
          <w:sz w:val="32"/>
          <w:szCs w:val="32"/>
        </w:rPr>
      </w:pPr>
      <w:r>
        <w:rPr>
          <w:rFonts w:eastAsia="仿宋_GB2312"/>
          <w:sz w:val="32"/>
          <w:szCs w:val="32"/>
        </w:rPr>
        <w:t>2023年度一般公共预算财政拨款支出103.57万元，占本年支出合计的</w:t>
      </w:r>
      <w:r>
        <w:rPr>
          <w:rFonts w:eastAsia="仿宋_GB2312"/>
          <w:sz w:val="32"/>
          <w:szCs w:val="32"/>
          <w:lang w:val="zh-CN"/>
        </w:rPr>
        <w:t>99.96%</w:t>
      </w:r>
      <w:r>
        <w:rPr>
          <w:rFonts w:eastAsia="仿宋_GB2312"/>
          <w:sz w:val="32"/>
          <w:szCs w:val="32"/>
        </w:rPr>
        <w:t>。与上年相比，</w:t>
      </w:r>
      <w:r>
        <w:rPr>
          <w:rFonts w:eastAsia="仿宋_GB2312"/>
          <w:sz w:val="32"/>
          <w:szCs w:val="32"/>
          <w:lang w:val="zh-CN"/>
        </w:rPr>
        <w:t>增加30.84万元</w:t>
      </w:r>
      <w:r>
        <w:rPr>
          <w:rFonts w:eastAsia="仿宋_GB2312"/>
          <w:sz w:val="32"/>
          <w:szCs w:val="32"/>
        </w:rPr>
        <w:t>，增长42.40%,主要原因是：2023年调入1人，人员工资、社保及住房公积金较上年有所增加，支出增加。与年初预算相比，年初预算数</w:t>
      </w:r>
      <w:r>
        <w:rPr>
          <w:rFonts w:eastAsia="仿宋_GB2312"/>
          <w:sz w:val="32"/>
          <w:szCs w:val="32"/>
          <w:lang w:val="zh-CN"/>
        </w:rPr>
        <w:t>80.74</w:t>
      </w:r>
      <w:r>
        <w:rPr>
          <w:rFonts w:eastAsia="仿宋_GB2312"/>
          <w:sz w:val="32"/>
          <w:szCs w:val="32"/>
        </w:rPr>
        <w:t>万元，决算数</w:t>
      </w:r>
      <w:r>
        <w:rPr>
          <w:rFonts w:eastAsia="仿宋_GB2312"/>
          <w:sz w:val="32"/>
          <w:szCs w:val="32"/>
          <w:lang w:val="zh-CN"/>
        </w:rPr>
        <w:t>103.57</w:t>
      </w:r>
      <w:r>
        <w:rPr>
          <w:rFonts w:eastAsia="仿宋_GB2312"/>
          <w:sz w:val="32"/>
          <w:szCs w:val="32"/>
        </w:rPr>
        <w:t>万元，预决算差异率</w:t>
      </w:r>
      <w:r>
        <w:rPr>
          <w:rFonts w:eastAsia="仿宋_GB2312"/>
          <w:sz w:val="32"/>
          <w:szCs w:val="32"/>
          <w:lang w:val="zh-CN"/>
        </w:rPr>
        <w:t>28.28%</w:t>
      </w:r>
      <w:r>
        <w:rPr>
          <w:rFonts w:eastAsia="仿宋_GB2312"/>
          <w:sz w:val="32"/>
          <w:szCs w:val="32"/>
        </w:rPr>
        <w:t>，主要原因是：年中追加基础绩效奖和年终一次性奖金。</w:t>
      </w:r>
    </w:p>
    <w:p>
      <w:pPr>
        <w:numPr>
          <w:ilvl w:val="0"/>
          <w:numId w:val="1"/>
        </w:numPr>
        <w:ind w:firstLine="640" w:firstLineChars="200"/>
        <w:jc w:val="left"/>
        <w:outlineLvl w:val="2"/>
        <w:rPr>
          <w:rFonts w:eastAsia="黑体"/>
          <w:sz w:val="32"/>
          <w:szCs w:val="32"/>
        </w:rPr>
      </w:pPr>
      <w:r>
        <w:rPr>
          <w:rFonts w:eastAsia="黑体"/>
          <w:sz w:val="32"/>
          <w:szCs w:val="32"/>
        </w:rPr>
        <w:t>一般公共预算财政拨款支出决算结构情况</w:t>
      </w:r>
    </w:p>
    <w:p>
      <w:pPr>
        <w:pStyle w:val="8"/>
        <w:widowControl/>
        <w:spacing w:before="0" w:beforeAutospacing="0" w:after="0" w:afterAutospacing="0"/>
        <w:ind w:firstLine="640" w:firstLineChars="200"/>
        <w:rPr>
          <w:rFonts w:eastAsia="仿宋_GB2312"/>
          <w:kern w:val="2"/>
          <w:sz w:val="32"/>
          <w:szCs w:val="32"/>
          <w:lang w:val="zh-CN"/>
        </w:rPr>
      </w:pPr>
      <w:r>
        <w:rPr>
          <w:rFonts w:eastAsia="仿宋_GB2312"/>
          <w:kern w:val="2"/>
          <w:sz w:val="32"/>
          <w:szCs w:val="32"/>
          <w:lang w:val="zh-CN"/>
        </w:rPr>
        <w:t>1.一般公共服务支出（类）80.59万元，占77.81%；</w:t>
      </w:r>
    </w:p>
    <w:p>
      <w:pPr>
        <w:pStyle w:val="8"/>
        <w:widowControl/>
        <w:spacing w:before="0" w:beforeAutospacing="0" w:after="0" w:afterAutospacing="0"/>
        <w:ind w:firstLine="640" w:firstLineChars="200"/>
        <w:rPr>
          <w:rFonts w:eastAsia="仿宋_GB2312"/>
          <w:kern w:val="2"/>
          <w:sz w:val="32"/>
          <w:szCs w:val="32"/>
          <w:lang w:val="zh-CN"/>
        </w:rPr>
      </w:pPr>
      <w:r>
        <w:rPr>
          <w:rFonts w:eastAsia="仿宋_GB2312"/>
          <w:kern w:val="2"/>
          <w:sz w:val="32"/>
          <w:szCs w:val="32"/>
          <w:lang w:val="zh-CN"/>
        </w:rPr>
        <w:t>2.社会保障和就业支出（类）9.49万元，占9.16%；</w:t>
      </w:r>
    </w:p>
    <w:p>
      <w:pPr>
        <w:pStyle w:val="8"/>
        <w:widowControl/>
        <w:spacing w:before="0" w:beforeAutospacing="0" w:after="0" w:afterAutospacing="0"/>
        <w:ind w:firstLine="640" w:firstLineChars="200"/>
        <w:rPr>
          <w:rFonts w:eastAsia="仿宋_GB2312"/>
          <w:kern w:val="2"/>
          <w:sz w:val="32"/>
          <w:szCs w:val="32"/>
          <w:lang w:val="zh-CN"/>
        </w:rPr>
      </w:pPr>
      <w:r>
        <w:rPr>
          <w:rFonts w:eastAsia="仿宋_GB2312"/>
          <w:kern w:val="2"/>
          <w:sz w:val="32"/>
          <w:szCs w:val="32"/>
          <w:lang w:val="zh-CN"/>
        </w:rPr>
        <w:t>3.卫生健康支出（类）7.38万元，占7.13%；</w:t>
      </w:r>
    </w:p>
    <w:p>
      <w:pPr>
        <w:pStyle w:val="8"/>
        <w:widowControl/>
        <w:spacing w:before="0" w:beforeAutospacing="0" w:after="0" w:afterAutospacing="0"/>
        <w:ind w:firstLine="640" w:firstLineChars="200"/>
        <w:rPr>
          <w:rFonts w:eastAsia="仿宋_GB2312"/>
          <w:kern w:val="2"/>
          <w:sz w:val="32"/>
          <w:szCs w:val="32"/>
          <w:lang w:val="zh-CN"/>
        </w:rPr>
      </w:pPr>
      <w:r>
        <w:rPr>
          <w:rFonts w:eastAsia="仿宋_GB2312"/>
          <w:kern w:val="2"/>
          <w:sz w:val="32"/>
          <w:szCs w:val="32"/>
          <w:lang w:val="zh-CN"/>
        </w:rPr>
        <w:t>4.住房保障支出（类）6.11万元，占5.90%；</w:t>
      </w:r>
    </w:p>
    <w:p>
      <w:pPr>
        <w:ind w:firstLine="640" w:firstLineChars="200"/>
        <w:jc w:val="left"/>
        <w:outlineLvl w:val="2"/>
        <w:rPr>
          <w:rFonts w:eastAsia="黑体"/>
          <w:sz w:val="32"/>
          <w:szCs w:val="32"/>
        </w:rPr>
      </w:pPr>
      <w:r>
        <w:rPr>
          <w:rFonts w:eastAsia="黑体"/>
          <w:sz w:val="32"/>
          <w:szCs w:val="32"/>
        </w:rPr>
        <w:t>（三）一般公共预算财政拨款支出决算具体情况</w:t>
      </w:r>
    </w:p>
    <w:p>
      <w:pPr>
        <w:ind w:firstLine="640" w:firstLineChars="200"/>
        <w:rPr>
          <w:rFonts w:eastAsia="仿宋_GB2312"/>
          <w:sz w:val="32"/>
          <w:szCs w:val="32"/>
          <w:lang w:val="zh-CN"/>
        </w:rPr>
      </w:pPr>
      <w:r>
        <w:rPr>
          <w:rFonts w:eastAsia="仿宋_GB2312"/>
          <w:sz w:val="32"/>
          <w:szCs w:val="32"/>
        </w:rPr>
        <w:t>1.卫生健康支出（类）行政事业单位医疗（款）事业单位医疗（项）:支出决算数为3.82万元，比上年决算增加1.03万元，增长36.92%，主要原因是：2023年调入1人，医疗保险缴费支出增加</w:t>
      </w:r>
      <w:r>
        <w:rPr>
          <w:rFonts w:eastAsia="仿宋_GB2312"/>
          <w:sz w:val="32"/>
          <w:szCs w:val="32"/>
          <w:lang w:val="zh-CN"/>
        </w:rPr>
        <w:t>。</w:t>
      </w:r>
    </w:p>
    <w:p>
      <w:pPr>
        <w:ind w:firstLine="640" w:firstLineChars="200"/>
        <w:rPr>
          <w:rFonts w:eastAsia="仿宋_GB2312"/>
          <w:sz w:val="32"/>
          <w:szCs w:val="32"/>
          <w:lang w:val="zh-CN"/>
        </w:rPr>
      </w:pPr>
      <w:r>
        <w:rPr>
          <w:rFonts w:eastAsia="仿宋_GB2312"/>
          <w:sz w:val="32"/>
          <w:szCs w:val="32"/>
        </w:rPr>
        <w:t>2.卫生健康支出（类）行政事业单位医疗（款）公务员医疗补助（项）:支出决算数为3.56万元，比上年决算增加1.19万元，增长50.21%，主要原因是：2023年调入1人，公务员医疗补助缴费支出增加</w:t>
      </w:r>
      <w:r>
        <w:rPr>
          <w:rFonts w:eastAsia="仿宋_GB2312"/>
          <w:sz w:val="32"/>
          <w:szCs w:val="32"/>
          <w:lang w:val="zh-CN"/>
        </w:rPr>
        <w:t>。</w:t>
      </w:r>
    </w:p>
    <w:p>
      <w:pPr>
        <w:ind w:firstLine="640" w:firstLineChars="200"/>
        <w:rPr>
          <w:rFonts w:eastAsia="仿宋_GB2312"/>
          <w:sz w:val="32"/>
          <w:szCs w:val="32"/>
          <w:lang w:val="zh-CN"/>
        </w:rPr>
      </w:pPr>
      <w:r>
        <w:rPr>
          <w:rFonts w:eastAsia="仿宋_GB2312"/>
          <w:sz w:val="32"/>
          <w:szCs w:val="32"/>
        </w:rPr>
        <w:t>3.住房保障支出（类）住房改革支出（款）住房公积金（项）:支出决算数为6.11万元，比上年决算增加2.14万元，增长53.90%，主要原因是：2023年调入1人，住房公积金缴费支出增加</w:t>
      </w:r>
      <w:r>
        <w:rPr>
          <w:rFonts w:eastAsia="仿宋_GB2312"/>
          <w:sz w:val="32"/>
          <w:szCs w:val="32"/>
          <w:lang w:val="zh-CN"/>
        </w:rPr>
        <w:t>。</w:t>
      </w:r>
    </w:p>
    <w:p>
      <w:pPr>
        <w:ind w:firstLine="640" w:firstLineChars="200"/>
        <w:rPr>
          <w:rFonts w:eastAsia="仿宋_GB2312"/>
          <w:sz w:val="32"/>
          <w:szCs w:val="32"/>
          <w:lang w:val="zh-CN"/>
        </w:rPr>
      </w:pPr>
      <w:r>
        <w:rPr>
          <w:rFonts w:eastAsia="仿宋_GB2312"/>
          <w:sz w:val="32"/>
          <w:szCs w:val="32"/>
        </w:rPr>
        <w:t>4.一般公共服务支出（类）商贸事务（款）事业运行（项）:支出决算数为80.59万元，比上年决算增加22.35万元，增长38.38%，主要原因是：2023年调入1人，人员工资支出较上年有所增加</w:t>
      </w:r>
      <w:r>
        <w:rPr>
          <w:rFonts w:eastAsia="仿宋_GB2312"/>
          <w:sz w:val="32"/>
          <w:szCs w:val="32"/>
          <w:lang w:val="zh-CN"/>
        </w:rPr>
        <w:t>。</w:t>
      </w:r>
    </w:p>
    <w:p>
      <w:pPr>
        <w:ind w:firstLine="640" w:firstLineChars="200"/>
        <w:rPr>
          <w:rFonts w:eastAsia="仿宋_GB2312"/>
          <w:sz w:val="32"/>
          <w:szCs w:val="32"/>
          <w:lang w:val="zh-CN"/>
        </w:rPr>
      </w:pPr>
      <w:r>
        <w:rPr>
          <w:rFonts w:eastAsia="仿宋_GB2312"/>
          <w:sz w:val="32"/>
          <w:szCs w:val="32"/>
        </w:rPr>
        <w:t>5.社会保障和就业支出（类）行政事业单位养老支出（款）机关事业单位基本养老保险缴费支出（项）:支出决算数为9.49万元，比上年决算增加4.12万元，增长76.72%，主要原因是：2023年调入1人，单位基本养老保险缴费支出增加</w:t>
      </w:r>
      <w:r>
        <w:rPr>
          <w:rFonts w:eastAsia="仿宋_GB2312"/>
          <w:sz w:val="32"/>
          <w:szCs w:val="32"/>
          <w:lang w:val="zh-CN"/>
        </w:rPr>
        <w:t>。</w:t>
      </w:r>
    </w:p>
    <w:p>
      <w:pPr>
        <w:ind w:firstLine="640" w:firstLineChars="200"/>
        <w:jc w:val="left"/>
        <w:outlineLvl w:val="1"/>
        <w:rPr>
          <w:rFonts w:eastAsia="黑体"/>
          <w:bCs/>
          <w:kern w:val="0"/>
          <w:sz w:val="32"/>
          <w:szCs w:val="32"/>
        </w:rPr>
      </w:pPr>
      <w:r>
        <w:rPr>
          <w:rFonts w:eastAsia="黑体"/>
          <w:bCs/>
          <w:kern w:val="0"/>
          <w:sz w:val="32"/>
          <w:szCs w:val="32"/>
        </w:rPr>
        <w:t>六、一般公共预算财政拨款基本支出决算情况说明</w:t>
      </w:r>
    </w:p>
    <w:p>
      <w:pPr>
        <w:ind w:firstLine="640" w:firstLineChars="200"/>
        <w:jc w:val="left"/>
        <w:rPr>
          <w:rFonts w:eastAsia="仿宋_GB2312"/>
          <w:sz w:val="32"/>
          <w:szCs w:val="32"/>
        </w:rPr>
      </w:pPr>
      <w:r>
        <w:rPr>
          <w:rFonts w:eastAsia="仿宋_GB2312"/>
          <w:sz w:val="32"/>
          <w:szCs w:val="32"/>
        </w:rPr>
        <w:t>2023年度一般公共预算财政拨款基本支出103.57万元，其中：人员经费98.74万元，包括：基本工资、津贴补贴、奖金、绩效工资、机关事业单位基本养老保险缴费、职工基本医疗保险缴费、公务员医疗补助缴费、其他社会保障缴费、住房公积金。</w:t>
      </w:r>
    </w:p>
    <w:p>
      <w:pPr>
        <w:ind w:firstLine="640" w:firstLineChars="200"/>
        <w:jc w:val="left"/>
        <w:rPr>
          <w:rFonts w:eastAsia="仿宋_GB2312"/>
          <w:sz w:val="32"/>
          <w:szCs w:val="32"/>
          <w:highlight w:val="red"/>
        </w:rPr>
      </w:pPr>
      <w:r>
        <w:rPr>
          <w:rFonts w:eastAsia="仿宋_GB2312"/>
          <w:sz w:val="32"/>
          <w:szCs w:val="32"/>
        </w:rPr>
        <w:t>公用经费4.82万元，包括：办公费、差旅费、工会经费、福利费。</w:t>
      </w:r>
    </w:p>
    <w:p>
      <w:pPr>
        <w:ind w:firstLine="640" w:firstLineChars="200"/>
        <w:jc w:val="left"/>
        <w:outlineLvl w:val="1"/>
        <w:rPr>
          <w:rFonts w:eastAsia="黑体"/>
          <w:bCs/>
          <w:kern w:val="0"/>
          <w:sz w:val="32"/>
          <w:szCs w:val="32"/>
        </w:rPr>
      </w:pPr>
      <w:r>
        <w:rPr>
          <w:rFonts w:eastAsia="黑体"/>
          <w:bCs/>
          <w:kern w:val="0"/>
          <w:sz w:val="32"/>
          <w:szCs w:val="32"/>
        </w:rPr>
        <w:t>七、财政拨款“三公”经费支出决算情况说明</w:t>
      </w:r>
    </w:p>
    <w:p>
      <w:pPr>
        <w:ind w:firstLine="640" w:firstLineChars="200"/>
        <w:jc w:val="left"/>
        <w:rPr>
          <w:rFonts w:eastAsia="仿宋_GB2312"/>
          <w:sz w:val="32"/>
          <w:szCs w:val="32"/>
          <w:lang w:val="zh-CN"/>
        </w:rPr>
      </w:pPr>
      <w:r>
        <w:rPr>
          <w:rFonts w:eastAsia="仿宋_GB2312"/>
          <w:sz w:val="32"/>
          <w:szCs w:val="32"/>
          <w:lang w:val="zh-CN"/>
        </w:rPr>
        <w:t>2023年度</w:t>
      </w:r>
      <w:r>
        <w:rPr>
          <w:rFonts w:eastAsia="仿宋_GB2312"/>
          <w:sz w:val="32"/>
          <w:szCs w:val="32"/>
        </w:rPr>
        <w:t>财政拨款</w:t>
      </w:r>
      <w:r>
        <w:rPr>
          <w:rFonts w:eastAsia="仿宋_GB2312"/>
          <w:sz w:val="32"/>
          <w:szCs w:val="32"/>
          <w:lang w:val="zh-CN"/>
        </w:rPr>
        <w:t>“三公”经费支出0.00万元，</w:t>
      </w:r>
      <w:r>
        <w:rPr>
          <w:rFonts w:eastAsia="仿宋_GB2312"/>
          <w:sz w:val="32"/>
          <w:szCs w:val="32"/>
        </w:rPr>
        <w:t>比上年</w:t>
      </w:r>
      <w:r>
        <w:rPr>
          <w:rFonts w:eastAsia="仿宋_GB2312"/>
          <w:sz w:val="32"/>
          <w:szCs w:val="32"/>
          <w:lang w:val="zh-CN"/>
        </w:rPr>
        <w:t>增加0.00万元，</w:t>
      </w:r>
      <w:r>
        <w:rPr>
          <w:rFonts w:eastAsia="仿宋_GB2312"/>
          <w:sz w:val="32"/>
          <w:szCs w:val="32"/>
        </w:rPr>
        <w:t>增长0.00%,</w:t>
      </w:r>
      <w:r>
        <w:rPr>
          <w:rFonts w:eastAsia="仿宋_GB2312"/>
          <w:sz w:val="32"/>
          <w:szCs w:val="32"/>
          <w:lang w:val="zh-CN"/>
        </w:rPr>
        <w:t>主要原因是：我单位无财政拨款“三公”经费支出。其中：因公出国（境）费支出0.00万元，占0.00%，比上年增加0.00万元，</w:t>
      </w:r>
      <w:r>
        <w:rPr>
          <w:rFonts w:eastAsia="仿宋_GB2312"/>
          <w:sz w:val="32"/>
          <w:szCs w:val="32"/>
        </w:rPr>
        <w:t>增长0.00%,</w:t>
      </w:r>
      <w:r>
        <w:rPr>
          <w:rFonts w:eastAsia="仿宋_GB2312"/>
          <w:sz w:val="32"/>
          <w:szCs w:val="32"/>
          <w:lang w:val="zh-CN"/>
        </w:rPr>
        <w:t>主要原因是：我单位无因公出国（境）费；公务用车购置及运行维护费支出0.00万元，占0.00%，比上年增加0.00万元，</w:t>
      </w:r>
      <w:r>
        <w:rPr>
          <w:rFonts w:eastAsia="仿宋_GB2312"/>
          <w:sz w:val="32"/>
          <w:szCs w:val="32"/>
        </w:rPr>
        <w:t>增长0.00%,</w:t>
      </w:r>
      <w:r>
        <w:rPr>
          <w:rFonts w:eastAsia="仿宋_GB2312"/>
          <w:sz w:val="32"/>
          <w:szCs w:val="32"/>
          <w:lang w:val="zh-CN"/>
        </w:rPr>
        <w:t>主要原因是：我单位无公务用车购置及运行维护费；公务接待费支出0.00万元，占0.00%，比上年增加0.00万元，</w:t>
      </w:r>
      <w:r>
        <w:rPr>
          <w:rFonts w:eastAsia="仿宋_GB2312"/>
          <w:sz w:val="32"/>
          <w:szCs w:val="32"/>
        </w:rPr>
        <w:t>增长0.00%,</w:t>
      </w:r>
      <w:r>
        <w:rPr>
          <w:rFonts w:eastAsia="仿宋_GB2312"/>
          <w:sz w:val="32"/>
          <w:szCs w:val="32"/>
          <w:lang w:val="zh-CN"/>
        </w:rPr>
        <w:t>主要原因是：我单位无公务接待费。</w:t>
      </w:r>
    </w:p>
    <w:p>
      <w:pPr>
        <w:ind w:firstLine="640" w:firstLineChars="200"/>
        <w:jc w:val="left"/>
        <w:rPr>
          <w:rFonts w:eastAsia="仿宋_GB2312"/>
          <w:sz w:val="32"/>
          <w:szCs w:val="32"/>
          <w:lang w:val="zh-CN"/>
        </w:rPr>
      </w:pPr>
      <w:r>
        <w:rPr>
          <w:rFonts w:eastAsia="仿宋_GB2312"/>
          <w:sz w:val="32"/>
          <w:szCs w:val="32"/>
          <w:lang w:val="zh-CN"/>
        </w:rPr>
        <w:t>具体情况如下：</w:t>
      </w:r>
    </w:p>
    <w:p>
      <w:pPr>
        <w:ind w:firstLine="640" w:firstLineChars="200"/>
        <w:jc w:val="left"/>
        <w:rPr>
          <w:rFonts w:eastAsia="仿宋_GB2312"/>
          <w:sz w:val="32"/>
          <w:szCs w:val="32"/>
          <w:lang w:val="zh-CN"/>
        </w:rPr>
      </w:pPr>
      <w:r>
        <w:rPr>
          <w:rFonts w:eastAsia="仿宋_GB2312"/>
          <w:sz w:val="32"/>
          <w:szCs w:val="32"/>
          <w:lang w:val="zh-CN"/>
        </w:rPr>
        <w:t>因公出国（境）费支出0.00万元，开支内容包括我单位无因公出国（境）费。单位全年安排的因公出国（境）团组0个，因公出国（境）0人次。</w:t>
      </w:r>
    </w:p>
    <w:p>
      <w:pPr>
        <w:ind w:firstLine="640" w:firstLineChars="200"/>
        <w:jc w:val="left"/>
        <w:rPr>
          <w:rFonts w:eastAsia="仿宋_GB2312"/>
          <w:sz w:val="32"/>
          <w:szCs w:val="32"/>
        </w:rPr>
      </w:pPr>
      <w:r>
        <w:rPr>
          <w:rFonts w:eastAsia="仿宋_GB2312"/>
          <w:sz w:val="32"/>
          <w:szCs w:val="32"/>
          <w:lang w:val="zh-CN"/>
        </w:rPr>
        <w:t>公务用车购置及运行维护费0.00万元，其中：公务用车购置费0.00万元，公务用车运行维护费0.00万元。公务用车运行维护费开支内容包括我单位无公务用车购置及运行维护费。公务用车购置数0辆，公务用车保有量0辆。国有资产占用情况</w:t>
      </w:r>
      <w:r>
        <w:rPr>
          <w:rFonts w:eastAsia="仿宋_GB2312"/>
          <w:sz w:val="32"/>
          <w:szCs w:val="32"/>
        </w:rPr>
        <w:t>中固定资产车辆</w:t>
      </w:r>
      <w:r>
        <w:rPr>
          <w:rFonts w:eastAsia="仿宋_GB2312"/>
          <w:sz w:val="32"/>
          <w:szCs w:val="32"/>
          <w:lang w:val="zh-CN"/>
        </w:rPr>
        <w:t>0辆，</w:t>
      </w:r>
      <w:r>
        <w:rPr>
          <w:rFonts w:eastAsia="仿宋_GB2312"/>
          <w:sz w:val="32"/>
          <w:szCs w:val="32"/>
        </w:rPr>
        <w:t>与</w:t>
      </w:r>
      <w:r>
        <w:rPr>
          <w:rFonts w:eastAsia="仿宋_GB2312"/>
          <w:sz w:val="32"/>
          <w:szCs w:val="32"/>
          <w:lang w:val="zh-CN"/>
        </w:rPr>
        <w:t>公务用车</w:t>
      </w:r>
      <w:r>
        <w:rPr>
          <w:rFonts w:eastAsia="仿宋_GB2312"/>
          <w:sz w:val="32"/>
          <w:szCs w:val="32"/>
        </w:rPr>
        <w:t>保有量差异</w:t>
      </w:r>
      <w:r>
        <w:rPr>
          <w:rFonts w:eastAsia="仿宋_GB2312"/>
          <w:sz w:val="32"/>
          <w:szCs w:val="32"/>
          <w:lang w:val="zh-CN"/>
        </w:rPr>
        <w:t>原因是：我单位无公务用车。</w:t>
      </w:r>
    </w:p>
    <w:p>
      <w:pPr>
        <w:ind w:firstLine="640" w:firstLineChars="200"/>
        <w:jc w:val="left"/>
        <w:rPr>
          <w:rFonts w:eastAsia="仿宋_GB2312"/>
          <w:sz w:val="32"/>
          <w:szCs w:val="32"/>
          <w:lang w:val="zh-CN"/>
        </w:rPr>
      </w:pPr>
      <w:r>
        <w:rPr>
          <w:rFonts w:eastAsia="仿宋_GB2312"/>
          <w:sz w:val="32"/>
          <w:szCs w:val="32"/>
          <w:lang w:val="zh-CN"/>
        </w:rPr>
        <w:t>公务接待费0.00万元，开支内容包括我单位无公务接待费。单位全年安排的国内公务接待0批次，0人次。</w:t>
      </w:r>
    </w:p>
    <w:p>
      <w:pPr>
        <w:ind w:firstLine="640" w:firstLineChars="200"/>
        <w:jc w:val="left"/>
        <w:rPr>
          <w:rFonts w:eastAsia="仿宋_GB2312"/>
          <w:sz w:val="32"/>
          <w:szCs w:val="32"/>
          <w:lang w:val="zh-CN"/>
        </w:rPr>
      </w:pPr>
      <w:r>
        <w:rPr>
          <w:rFonts w:eastAsia="仿宋_GB2312"/>
          <w:sz w:val="32"/>
          <w:szCs w:val="32"/>
          <w:lang w:val="zh-CN"/>
        </w:rPr>
        <w:t>与</w:t>
      </w:r>
      <w:r>
        <w:rPr>
          <w:rFonts w:eastAsia="仿宋_GB2312"/>
          <w:sz w:val="32"/>
          <w:szCs w:val="32"/>
        </w:rPr>
        <w:t>全年</w:t>
      </w:r>
      <w:r>
        <w:rPr>
          <w:rFonts w:eastAsia="仿宋_GB2312"/>
          <w:sz w:val="32"/>
          <w:szCs w:val="32"/>
          <w:lang w:val="zh-CN"/>
        </w:rPr>
        <w:t>预算相比</w:t>
      </w:r>
      <w:r>
        <w:rPr>
          <w:rFonts w:eastAsia="仿宋_GB2312"/>
          <w:sz w:val="32"/>
          <w:szCs w:val="32"/>
        </w:rPr>
        <w:t>,</w:t>
      </w:r>
      <w:r>
        <w:rPr>
          <w:rFonts w:eastAsia="仿宋_GB2312"/>
          <w:sz w:val="32"/>
          <w:szCs w:val="32"/>
          <w:lang w:val="zh-CN"/>
        </w:rPr>
        <w:t>财政拨款“三公”经费支出</w:t>
      </w:r>
      <w:r>
        <w:rPr>
          <w:rFonts w:eastAsia="仿宋_GB2312"/>
          <w:sz w:val="32"/>
          <w:szCs w:val="32"/>
        </w:rPr>
        <w:t>全年</w:t>
      </w:r>
      <w:r>
        <w:rPr>
          <w:rFonts w:eastAsia="仿宋_GB2312"/>
          <w:sz w:val="32"/>
          <w:szCs w:val="32"/>
          <w:lang w:val="zh-CN"/>
        </w:rPr>
        <w:t>预算数0.00万元，决算数0.00万元，预决算差异率0.00%，主要原因是：我单位无财政拨款“三公”经费支出。其中：因公出国（境）费</w:t>
      </w:r>
      <w:r>
        <w:rPr>
          <w:rFonts w:eastAsia="仿宋_GB2312"/>
          <w:sz w:val="32"/>
          <w:szCs w:val="32"/>
        </w:rPr>
        <w:t>全年预算数</w:t>
      </w:r>
      <w:r>
        <w:rPr>
          <w:rFonts w:eastAsia="仿宋_GB2312"/>
          <w:sz w:val="32"/>
          <w:szCs w:val="32"/>
          <w:lang w:val="zh-CN"/>
        </w:rPr>
        <w:t>0.00万元，决算数0.00万元，预决算差异率0.00%，主要原因是：我单位无因公出国（境）费；公务用车购置费</w:t>
      </w:r>
      <w:r>
        <w:rPr>
          <w:rFonts w:eastAsia="仿宋_GB2312"/>
          <w:sz w:val="32"/>
          <w:szCs w:val="32"/>
        </w:rPr>
        <w:t>全年</w:t>
      </w:r>
      <w:r>
        <w:rPr>
          <w:rFonts w:eastAsia="仿宋_GB2312"/>
          <w:sz w:val="32"/>
          <w:szCs w:val="32"/>
          <w:lang w:val="zh-CN"/>
        </w:rPr>
        <w:t>预算数0.00万元，决算数0.00万元，预决算差异率0.00%，主要原因是：我单位无公务用车购置及运行维护费；公务用车运行费</w:t>
      </w:r>
      <w:r>
        <w:rPr>
          <w:rFonts w:eastAsia="仿宋_GB2312"/>
          <w:sz w:val="32"/>
          <w:szCs w:val="32"/>
        </w:rPr>
        <w:t>全年</w:t>
      </w:r>
      <w:r>
        <w:rPr>
          <w:rFonts w:eastAsia="仿宋_GB2312"/>
          <w:sz w:val="32"/>
          <w:szCs w:val="32"/>
          <w:lang w:val="zh-CN"/>
        </w:rPr>
        <w:t>预算数0.00万元，决算数0.00万元，预决算差异率0.00%，主要原因是：我单位无公务用车购置及运行维护费；公务接待费</w:t>
      </w:r>
      <w:r>
        <w:rPr>
          <w:rFonts w:eastAsia="仿宋_GB2312"/>
          <w:sz w:val="32"/>
          <w:szCs w:val="32"/>
        </w:rPr>
        <w:t>全年</w:t>
      </w:r>
      <w:r>
        <w:rPr>
          <w:rFonts w:eastAsia="仿宋_GB2312"/>
          <w:sz w:val="32"/>
          <w:szCs w:val="32"/>
          <w:lang w:val="zh-CN"/>
        </w:rPr>
        <w:t>预算数0.00万元，决算数0.00万元，预决算差异率0.00%，主要原因是：我单位无公务接待费。</w:t>
      </w:r>
    </w:p>
    <w:p>
      <w:pPr>
        <w:ind w:firstLine="640" w:firstLineChars="200"/>
        <w:jc w:val="left"/>
        <w:outlineLvl w:val="1"/>
        <w:rPr>
          <w:rFonts w:eastAsia="黑体"/>
          <w:bCs/>
          <w:kern w:val="0"/>
          <w:sz w:val="32"/>
          <w:szCs w:val="32"/>
        </w:rPr>
      </w:pPr>
      <w:bookmarkStart w:id="18" w:name="_Toc5810"/>
      <w:bookmarkStart w:id="19" w:name="_Toc7927"/>
      <w:r>
        <w:rPr>
          <w:rFonts w:eastAsia="黑体"/>
          <w:bCs/>
          <w:kern w:val="0"/>
          <w:sz w:val="32"/>
          <w:szCs w:val="32"/>
        </w:rPr>
        <w:t>八、政府性基金预算财政拨款收入支出决算情况说明</w:t>
      </w:r>
      <w:bookmarkEnd w:id="18"/>
      <w:bookmarkEnd w:id="19"/>
    </w:p>
    <w:p>
      <w:pPr>
        <w:ind w:firstLine="640" w:firstLineChars="200"/>
        <w:jc w:val="left"/>
        <w:rPr>
          <w:rFonts w:eastAsia="仿宋_GB2312"/>
          <w:sz w:val="32"/>
          <w:szCs w:val="32"/>
        </w:rPr>
      </w:pPr>
      <w:r>
        <w:rPr>
          <w:rFonts w:eastAsia="仿宋_GB2312"/>
          <w:sz w:val="32"/>
          <w:szCs w:val="32"/>
        </w:rPr>
        <w:t>我单位本年度无政府性基金预算财政拨款收入、支出及结转和结余，政府性基金预算财政拨款收入支出决算表为空表。</w:t>
      </w:r>
    </w:p>
    <w:p>
      <w:pPr>
        <w:ind w:firstLine="640" w:firstLineChars="200"/>
        <w:jc w:val="left"/>
        <w:outlineLvl w:val="1"/>
        <w:rPr>
          <w:rFonts w:eastAsia="黑体"/>
          <w:bCs/>
          <w:kern w:val="0"/>
          <w:sz w:val="32"/>
          <w:szCs w:val="32"/>
        </w:rPr>
      </w:pPr>
      <w:r>
        <w:rPr>
          <w:rFonts w:eastAsia="黑体"/>
          <w:bCs/>
          <w:kern w:val="0"/>
          <w:sz w:val="32"/>
          <w:szCs w:val="32"/>
        </w:rPr>
        <w:t>九、国有资本经营预算财政拨款收入支出决算情况说明</w:t>
      </w:r>
    </w:p>
    <w:p>
      <w:pPr>
        <w:ind w:firstLine="640" w:firstLineChars="200"/>
        <w:jc w:val="left"/>
        <w:rPr>
          <w:rFonts w:eastAsia="仿宋_GB2312"/>
          <w:sz w:val="32"/>
          <w:szCs w:val="32"/>
        </w:rPr>
      </w:pPr>
      <w:r>
        <w:rPr>
          <w:rFonts w:eastAsia="仿宋_GB2312"/>
          <w:sz w:val="32"/>
          <w:szCs w:val="32"/>
        </w:rPr>
        <w:t>我单位本年度无国有资本经营预算财政拨款收入、支出及结转和结余，国有资本经营预算财政拨款收入支出决算表为空表。</w:t>
      </w:r>
    </w:p>
    <w:p>
      <w:pPr>
        <w:ind w:firstLine="640" w:firstLineChars="200"/>
        <w:jc w:val="left"/>
        <w:outlineLvl w:val="1"/>
        <w:rPr>
          <w:rFonts w:eastAsia="黑体"/>
          <w:bCs/>
          <w:kern w:val="0"/>
          <w:sz w:val="32"/>
          <w:szCs w:val="32"/>
        </w:rPr>
      </w:pPr>
      <w:bookmarkStart w:id="20" w:name="_Toc1235"/>
      <w:bookmarkStart w:id="21" w:name="_Toc7314"/>
      <w:r>
        <w:rPr>
          <w:rFonts w:eastAsia="黑体"/>
          <w:bCs/>
          <w:kern w:val="0"/>
          <w:sz w:val="32"/>
          <w:szCs w:val="32"/>
        </w:rPr>
        <w:t>十、其他重要事项的情况说明</w:t>
      </w:r>
      <w:bookmarkEnd w:id="20"/>
      <w:bookmarkEnd w:id="21"/>
    </w:p>
    <w:p>
      <w:pPr>
        <w:ind w:firstLine="640" w:firstLineChars="200"/>
        <w:jc w:val="left"/>
        <w:outlineLvl w:val="2"/>
        <w:rPr>
          <w:rFonts w:eastAsia="黑体"/>
          <w:sz w:val="32"/>
          <w:szCs w:val="32"/>
        </w:rPr>
      </w:pPr>
      <w:bookmarkStart w:id="22" w:name="_Toc14519"/>
      <w:bookmarkStart w:id="23" w:name="_Toc13105"/>
      <w:r>
        <w:rPr>
          <w:rFonts w:eastAsia="黑体"/>
          <w:sz w:val="32"/>
          <w:szCs w:val="32"/>
        </w:rPr>
        <w:t>（一）机关运行经费支出情况</w:t>
      </w:r>
      <w:bookmarkEnd w:id="22"/>
      <w:bookmarkEnd w:id="23"/>
    </w:p>
    <w:p>
      <w:pPr>
        <w:ind w:firstLine="640" w:firstLineChars="200"/>
        <w:jc w:val="left"/>
        <w:rPr>
          <w:rFonts w:eastAsia="仿宋_GB2312"/>
          <w:sz w:val="32"/>
          <w:szCs w:val="32"/>
        </w:rPr>
      </w:pPr>
      <w:bookmarkStart w:id="24" w:name="_Toc26704"/>
      <w:bookmarkStart w:id="25" w:name="_Toc227"/>
      <w:r>
        <w:rPr>
          <w:rFonts w:eastAsia="仿宋_GB2312"/>
          <w:sz w:val="32"/>
          <w:szCs w:val="32"/>
          <w:lang w:val="zh-CN"/>
        </w:rPr>
        <w:t>2023年度</w:t>
      </w:r>
      <w:r>
        <w:rPr>
          <w:rFonts w:eastAsia="仿宋_GB2312"/>
          <w:sz w:val="32"/>
          <w:szCs w:val="32"/>
        </w:rPr>
        <w:t>新疆维吾尔自治区区外投资企业服务中心（事业单位）公用经费支出4.82万元，</w:t>
      </w:r>
      <w:r>
        <w:rPr>
          <w:rFonts w:eastAsia="仿宋_GB2312"/>
          <w:sz w:val="32"/>
          <w:szCs w:val="32"/>
          <w:lang w:val="zh-CN"/>
        </w:rPr>
        <w:t>比上年增加1.75万元，增长57.00%，主要原因是：</w:t>
      </w:r>
      <w:r>
        <w:rPr>
          <w:rFonts w:eastAsia="仿宋_GB2312"/>
          <w:sz w:val="32"/>
          <w:szCs w:val="32"/>
        </w:rPr>
        <w:t>2023年调入1人，公用经费支出较上年有所增加。</w:t>
      </w:r>
    </w:p>
    <w:p>
      <w:pPr>
        <w:ind w:firstLine="640" w:firstLineChars="200"/>
        <w:jc w:val="left"/>
        <w:rPr>
          <w:rFonts w:eastAsia="黑体"/>
          <w:sz w:val="32"/>
          <w:szCs w:val="30"/>
          <w:lang w:val="zh-CN"/>
        </w:rPr>
      </w:pPr>
      <w:r>
        <w:rPr>
          <w:rFonts w:eastAsia="黑体"/>
          <w:sz w:val="32"/>
          <w:szCs w:val="30"/>
          <w:lang w:val="zh-CN"/>
        </w:rPr>
        <w:t>（二）政府采购情况</w:t>
      </w:r>
      <w:bookmarkEnd w:id="24"/>
      <w:bookmarkEnd w:id="25"/>
    </w:p>
    <w:p>
      <w:pPr>
        <w:ind w:firstLine="640" w:firstLineChars="200"/>
        <w:jc w:val="left"/>
        <w:rPr>
          <w:rFonts w:eastAsia="仿宋_GB2312"/>
          <w:sz w:val="32"/>
          <w:szCs w:val="32"/>
          <w:lang w:val="zh-CN"/>
        </w:rPr>
      </w:pPr>
      <w:r>
        <w:rPr>
          <w:rFonts w:eastAsia="仿宋_GB2312"/>
          <w:sz w:val="32"/>
          <w:szCs w:val="32"/>
          <w:lang w:val="zh-CN"/>
        </w:rPr>
        <w:t>2023年度政府采购支出总额0.00万元，其中：政府采购货物支出0.00万元、政府采购工程支出0.00万元、政府采购服务支出0.00万元。</w:t>
      </w:r>
    </w:p>
    <w:p>
      <w:pPr>
        <w:ind w:firstLine="640" w:firstLineChars="200"/>
        <w:jc w:val="left"/>
        <w:rPr>
          <w:rFonts w:eastAsia="仿宋_GB2312"/>
          <w:sz w:val="32"/>
          <w:szCs w:val="32"/>
        </w:rPr>
      </w:pPr>
      <w:r>
        <w:rPr>
          <w:rFonts w:eastAsia="仿宋_GB2312"/>
          <w:sz w:val="32"/>
          <w:szCs w:val="32"/>
          <w:lang w:val="zh-CN"/>
        </w:rPr>
        <w:t>授予中小企业合同金额0.00万元，占政府采购支出总额的0.00%，其中：授予小微企业合同金额0.00万元，占政府采购支出总额的0.00%</w:t>
      </w:r>
      <w:r>
        <w:rPr>
          <w:rFonts w:eastAsia="仿宋_GB2312"/>
          <w:sz w:val="32"/>
          <w:szCs w:val="32"/>
        </w:rPr>
        <w:t>。</w:t>
      </w:r>
    </w:p>
    <w:p>
      <w:pPr>
        <w:ind w:firstLine="640" w:firstLineChars="200"/>
        <w:jc w:val="left"/>
        <w:rPr>
          <w:rFonts w:eastAsia="黑体"/>
          <w:sz w:val="32"/>
          <w:szCs w:val="30"/>
          <w:lang w:val="zh-CN"/>
        </w:rPr>
      </w:pPr>
      <w:bookmarkStart w:id="26" w:name="_Toc4591"/>
      <w:bookmarkStart w:id="27" w:name="_Toc8391"/>
      <w:r>
        <w:rPr>
          <w:rFonts w:eastAsia="黑体"/>
          <w:sz w:val="32"/>
          <w:szCs w:val="30"/>
          <w:lang w:val="zh-CN"/>
        </w:rPr>
        <w:t>（三）国有资产占用情况说明</w:t>
      </w:r>
      <w:bookmarkEnd w:id="26"/>
      <w:bookmarkEnd w:id="27"/>
    </w:p>
    <w:p>
      <w:pPr>
        <w:ind w:firstLine="640" w:firstLineChars="200"/>
        <w:jc w:val="left"/>
        <w:rPr>
          <w:rFonts w:eastAsia="仿宋_GB2312"/>
          <w:sz w:val="32"/>
          <w:szCs w:val="32"/>
          <w:lang w:val="zh-CN"/>
        </w:rPr>
      </w:pPr>
      <w:r>
        <w:rPr>
          <w:rFonts w:eastAsia="仿宋_GB2312"/>
          <w:sz w:val="32"/>
          <w:szCs w:val="32"/>
        </w:rPr>
        <w:t>截至2023</w:t>
      </w:r>
      <w:r>
        <w:rPr>
          <w:rFonts w:eastAsia="仿宋_GB2312"/>
          <w:sz w:val="32"/>
          <w:szCs w:val="32"/>
          <w:lang w:val="zh-CN"/>
        </w:rPr>
        <w:t>年</w:t>
      </w:r>
      <w:r>
        <w:rPr>
          <w:rFonts w:eastAsia="仿宋_GB2312"/>
          <w:sz w:val="32"/>
          <w:szCs w:val="32"/>
        </w:rPr>
        <w:t>12月31日</w:t>
      </w:r>
      <w:r>
        <w:rPr>
          <w:rFonts w:eastAsia="仿宋_GB2312"/>
          <w:sz w:val="32"/>
          <w:szCs w:val="32"/>
          <w:lang w:val="zh-CN"/>
        </w:rPr>
        <w:t>，</w:t>
      </w:r>
      <w:r>
        <w:rPr>
          <w:rFonts w:eastAsia="仿宋_GB2312"/>
          <w:sz w:val="32"/>
          <w:szCs w:val="32"/>
        </w:rPr>
        <w:t>固定资产原值</w:t>
      </w:r>
      <w:r>
        <w:rPr>
          <w:rFonts w:eastAsia="仿宋_GB2312"/>
          <w:sz w:val="32"/>
          <w:szCs w:val="32"/>
          <w:lang w:val="zh-CN"/>
        </w:rPr>
        <w:t>3.60</w:t>
      </w:r>
      <w:r>
        <w:rPr>
          <w:rFonts w:eastAsia="仿宋_GB2312"/>
          <w:sz w:val="32"/>
          <w:szCs w:val="32"/>
        </w:rPr>
        <w:t>万元，房</w:t>
      </w:r>
      <w:r>
        <w:rPr>
          <w:rFonts w:eastAsia="仿宋_GB2312"/>
          <w:sz w:val="32"/>
          <w:szCs w:val="32"/>
          <w:lang w:val="zh-CN"/>
        </w:rPr>
        <w:t>屋0.00平方米，价值0.00万元。车辆0辆，价值0.00万元，其中：副部（省）级及以上领导用车0辆、主要</w:t>
      </w:r>
      <w:r>
        <w:rPr>
          <w:rFonts w:eastAsia="仿宋_GB2312"/>
          <w:sz w:val="32"/>
          <w:szCs w:val="32"/>
        </w:rPr>
        <w:t>负责人</w:t>
      </w:r>
      <w:r>
        <w:rPr>
          <w:rFonts w:eastAsia="仿宋_GB2312"/>
          <w:sz w:val="32"/>
          <w:szCs w:val="32"/>
          <w:lang w:val="zh-CN"/>
        </w:rPr>
        <w:t>用车0辆、机要通信用车0辆、应急保障用车0辆、执法执勤用车0辆、特种专业技术用车0辆、离退休干部</w:t>
      </w:r>
      <w:r>
        <w:rPr>
          <w:rFonts w:eastAsia="仿宋_GB2312"/>
          <w:sz w:val="32"/>
          <w:szCs w:val="32"/>
        </w:rPr>
        <w:t>服务</w:t>
      </w:r>
      <w:r>
        <w:rPr>
          <w:rFonts w:eastAsia="仿宋_GB2312"/>
          <w:sz w:val="32"/>
          <w:szCs w:val="32"/>
          <w:lang w:val="zh-CN"/>
        </w:rPr>
        <w:t>用车0辆、其他用车0辆，其他用车主要是：我单位无其他用车；单价100万元（含）以上设备（不含车辆）0</w:t>
      </w:r>
      <w:r>
        <w:rPr>
          <w:rFonts w:eastAsia="仿宋_GB2312"/>
          <w:sz w:val="32"/>
          <w:szCs w:val="32"/>
        </w:rPr>
        <w:t>台（</w:t>
      </w:r>
      <w:r>
        <w:rPr>
          <w:rFonts w:eastAsia="仿宋_GB2312"/>
          <w:sz w:val="32"/>
          <w:szCs w:val="32"/>
          <w:lang w:val="zh-CN"/>
        </w:rPr>
        <w:t>套）。</w:t>
      </w:r>
    </w:p>
    <w:p>
      <w:pPr>
        <w:ind w:firstLine="640" w:firstLineChars="200"/>
        <w:jc w:val="left"/>
        <w:outlineLvl w:val="1"/>
        <w:rPr>
          <w:rFonts w:eastAsia="黑体"/>
          <w:bCs/>
          <w:kern w:val="0"/>
          <w:sz w:val="32"/>
          <w:szCs w:val="32"/>
        </w:rPr>
      </w:pPr>
      <w:bookmarkStart w:id="28" w:name="_Toc435"/>
      <w:bookmarkStart w:id="29" w:name="_Toc11283"/>
      <w:r>
        <w:rPr>
          <w:rFonts w:eastAsia="黑体"/>
          <w:bCs/>
          <w:kern w:val="0"/>
          <w:sz w:val="32"/>
          <w:szCs w:val="32"/>
        </w:rPr>
        <w:t>十一、预算绩效的情况说明</w:t>
      </w:r>
      <w:bookmarkEnd w:id="28"/>
      <w:bookmarkEnd w:id="29"/>
    </w:p>
    <w:p>
      <w:pPr>
        <w:ind w:firstLine="640" w:firstLineChars="200"/>
        <w:jc w:val="left"/>
        <w:rPr>
          <w:rFonts w:eastAsia="仿宋_GB2312"/>
          <w:sz w:val="32"/>
          <w:szCs w:val="32"/>
        </w:rPr>
      </w:pPr>
      <w:r>
        <w:rPr>
          <w:rFonts w:eastAsia="仿宋_GB2312"/>
          <w:sz w:val="32"/>
          <w:szCs w:val="32"/>
        </w:rPr>
        <w:t>根据预算绩效管理要求，预算绩效评价项目0个，全年预算数0万元，全年执行数0万元。预算绩效管理取得的成效：本单位无项目。下一步改进措施：本单位无项目。具体项目自评情况附绩效自评表</w:t>
      </w:r>
      <w:bookmarkStart w:id="48" w:name="_GoBack"/>
      <w:bookmarkEnd w:id="48"/>
      <w:r>
        <w:rPr>
          <w:rFonts w:eastAsia="仿宋_GB2312"/>
          <w:sz w:val="32"/>
          <w:szCs w:val="32"/>
        </w:rPr>
        <w:t>。</w:t>
      </w:r>
    </w:p>
    <w:p>
      <w:pPr>
        <w:ind w:firstLine="640" w:firstLineChars="200"/>
        <w:jc w:val="left"/>
        <w:rPr>
          <w:rFonts w:eastAsia="黑体"/>
          <w:bCs/>
          <w:kern w:val="0"/>
          <w:sz w:val="32"/>
          <w:szCs w:val="32"/>
        </w:rPr>
      </w:pPr>
      <w:r>
        <w:rPr>
          <w:rFonts w:eastAsia="黑体"/>
          <w:bCs/>
          <w:kern w:val="0"/>
          <w:sz w:val="32"/>
          <w:szCs w:val="32"/>
        </w:rPr>
        <w:t>十二、其他需说明的事项</w:t>
      </w:r>
    </w:p>
    <w:p>
      <w:pPr>
        <w:ind w:firstLine="640" w:firstLineChars="200"/>
        <w:jc w:val="left"/>
        <w:rPr>
          <w:rFonts w:hint="default" w:eastAsia="仿宋_GB2312"/>
          <w:kern w:val="0"/>
          <w:sz w:val="32"/>
          <w:szCs w:val="32"/>
          <w:lang w:val="en-US" w:eastAsia="zh-CN"/>
        </w:rPr>
      </w:pPr>
      <w:r>
        <w:rPr>
          <w:rFonts w:eastAsia="仿宋_GB2312"/>
          <w:kern w:val="0"/>
          <w:sz w:val="32"/>
          <w:szCs w:val="32"/>
        </w:rPr>
        <w:t>本单位</w:t>
      </w:r>
      <w:r>
        <w:rPr>
          <w:rFonts w:hint="eastAsia" w:eastAsia="仿宋_GB2312"/>
          <w:kern w:val="0"/>
          <w:sz w:val="32"/>
          <w:szCs w:val="32"/>
        </w:rPr>
        <w:t>授予中小企业合同金额、授予小微企业合同金额为0万元，原因</w:t>
      </w:r>
      <w:r>
        <w:rPr>
          <w:rFonts w:hint="eastAsia" w:eastAsia="仿宋_GB2312"/>
          <w:kern w:val="0"/>
          <w:sz w:val="32"/>
          <w:szCs w:val="32"/>
          <w:lang w:eastAsia="zh-CN"/>
        </w:rPr>
        <w:t>为</w:t>
      </w:r>
      <w:r>
        <w:rPr>
          <w:rFonts w:hint="eastAsia" w:eastAsia="仿宋_GB2312"/>
          <w:kern w:val="0"/>
          <w:sz w:val="32"/>
          <w:szCs w:val="32"/>
          <w:lang w:val="en-US" w:eastAsia="zh-CN"/>
        </w:rPr>
        <w:t>2023年预算经费中未安排政府采购资金。</w:t>
      </w:r>
    </w:p>
    <w:p>
      <w:pPr>
        <w:jc w:val="center"/>
        <w:outlineLvl w:val="0"/>
        <w:rPr>
          <w:rFonts w:eastAsia="黑体"/>
          <w:sz w:val="32"/>
          <w:szCs w:val="32"/>
        </w:rPr>
      </w:pPr>
      <w:bookmarkStart w:id="30" w:name="_Toc24143"/>
      <w:bookmarkStart w:id="31" w:name="_Toc3250"/>
      <w:r>
        <w:rPr>
          <w:rFonts w:eastAsia="黑体"/>
          <w:sz w:val="32"/>
          <w:szCs w:val="32"/>
        </w:rPr>
        <w:br w:type="page"/>
      </w:r>
      <w:r>
        <w:rPr>
          <w:rFonts w:eastAsia="黑体"/>
          <w:sz w:val="32"/>
          <w:szCs w:val="32"/>
        </w:rPr>
        <w:t>第三部分 专业名词解释</w:t>
      </w:r>
      <w:bookmarkEnd w:id="30"/>
      <w:bookmarkEnd w:id="31"/>
    </w:p>
    <w:p>
      <w:pPr>
        <w:autoSpaceDE w:val="0"/>
        <w:autoSpaceDN w:val="0"/>
        <w:ind w:firstLine="643" w:firstLineChars="200"/>
        <w:jc w:val="left"/>
        <w:rPr>
          <w:rFonts w:eastAsia="仿宋_GB2312"/>
          <w:sz w:val="32"/>
          <w:szCs w:val="32"/>
        </w:rPr>
      </w:pPr>
      <w:r>
        <w:rPr>
          <w:rFonts w:eastAsia="仿宋_GB2312"/>
          <w:b/>
          <w:bCs/>
          <w:sz w:val="32"/>
          <w:szCs w:val="32"/>
        </w:rPr>
        <w:t>一、财政拨款收入：</w:t>
      </w:r>
      <w:r>
        <w:rPr>
          <w:rFonts w:eastAsia="仿宋_GB2312"/>
          <w:sz w:val="32"/>
          <w:szCs w:val="32"/>
        </w:rPr>
        <w:t>指同级财政当年拨付的资金。</w:t>
      </w:r>
    </w:p>
    <w:p>
      <w:pPr>
        <w:autoSpaceDE w:val="0"/>
        <w:autoSpaceDN w:val="0"/>
        <w:ind w:firstLine="643" w:firstLineChars="200"/>
        <w:jc w:val="left"/>
        <w:rPr>
          <w:rFonts w:eastAsia="仿宋_GB2312"/>
          <w:sz w:val="32"/>
          <w:szCs w:val="32"/>
        </w:rPr>
      </w:pPr>
      <w:r>
        <w:rPr>
          <w:rFonts w:eastAsia="仿宋_GB2312"/>
          <w:b/>
          <w:bCs/>
          <w:sz w:val="32"/>
          <w:szCs w:val="32"/>
        </w:rPr>
        <w:t>二、上级补助收入：</w:t>
      </w:r>
      <w:r>
        <w:rPr>
          <w:rFonts w:eastAsia="仿宋_GB2312"/>
          <w:sz w:val="32"/>
          <w:szCs w:val="32"/>
        </w:rPr>
        <w:t>指事业单位从主管部门和上级单位取得的非财政补助收入。</w:t>
      </w:r>
    </w:p>
    <w:p>
      <w:pPr>
        <w:autoSpaceDE w:val="0"/>
        <w:autoSpaceDN w:val="0"/>
        <w:ind w:firstLine="643" w:firstLineChars="200"/>
        <w:jc w:val="left"/>
        <w:rPr>
          <w:rFonts w:eastAsia="仿宋_GB2312"/>
          <w:sz w:val="32"/>
          <w:szCs w:val="32"/>
        </w:rPr>
      </w:pPr>
      <w:r>
        <w:rPr>
          <w:rFonts w:eastAsia="仿宋_GB2312"/>
          <w:b/>
          <w:bCs/>
          <w:sz w:val="32"/>
          <w:szCs w:val="32"/>
        </w:rPr>
        <w:t>三、事业收入：</w:t>
      </w:r>
      <w:r>
        <w:rPr>
          <w:rFonts w:eastAsia="仿宋_GB2312"/>
          <w:sz w:val="32"/>
          <w:szCs w:val="32"/>
        </w:rPr>
        <w:t>指事业单位开展专业业务活动及其辅助活动所取得的收入。</w:t>
      </w:r>
    </w:p>
    <w:p>
      <w:pPr>
        <w:autoSpaceDE w:val="0"/>
        <w:autoSpaceDN w:val="0"/>
        <w:ind w:firstLine="643" w:firstLineChars="200"/>
        <w:jc w:val="left"/>
        <w:rPr>
          <w:rFonts w:eastAsia="仿宋_GB2312"/>
          <w:sz w:val="32"/>
          <w:szCs w:val="32"/>
        </w:rPr>
      </w:pPr>
      <w:r>
        <w:rPr>
          <w:rFonts w:eastAsia="仿宋_GB2312"/>
          <w:b/>
          <w:bCs/>
          <w:sz w:val="32"/>
          <w:szCs w:val="32"/>
        </w:rPr>
        <w:t>四、经营收入：</w:t>
      </w:r>
      <w:r>
        <w:rPr>
          <w:rFonts w:eastAsia="仿宋_GB2312"/>
          <w:sz w:val="32"/>
          <w:szCs w:val="32"/>
        </w:rPr>
        <w:t>指事业单位在专业业务活动及其辅助活动之外开展非独立核算经营活动取得的收入。</w:t>
      </w:r>
    </w:p>
    <w:p>
      <w:pPr>
        <w:autoSpaceDE w:val="0"/>
        <w:autoSpaceDN w:val="0"/>
        <w:ind w:firstLine="643" w:firstLineChars="200"/>
        <w:jc w:val="left"/>
        <w:rPr>
          <w:rFonts w:eastAsia="仿宋_GB2312"/>
          <w:sz w:val="32"/>
          <w:szCs w:val="32"/>
        </w:rPr>
      </w:pPr>
      <w:r>
        <w:rPr>
          <w:rFonts w:eastAsia="仿宋_GB2312"/>
          <w:b/>
          <w:bCs/>
          <w:sz w:val="32"/>
          <w:szCs w:val="32"/>
        </w:rPr>
        <w:t>五、附属单位上缴收入：</w:t>
      </w:r>
      <w:r>
        <w:rPr>
          <w:rFonts w:eastAsia="仿宋_GB2312"/>
          <w:sz w:val="32"/>
          <w:szCs w:val="32"/>
        </w:rPr>
        <w:t>指事业单位附属的独立核算单位按有关规定上缴的收入。</w:t>
      </w:r>
    </w:p>
    <w:p>
      <w:pPr>
        <w:autoSpaceDE w:val="0"/>
        <w:autoSpaceDN w:val="0"/>
        <w:ind w:firstLine="643" w:firstLineChars="200"/>
        <w:jc w:val="left"/>
        <w:rPr>
          <w:rFonts w:eastAsia="仿宋_GB2312"/>
          <w:sz w:val="32"/>
          <w:szCs w:val="32"/>
        </w:rPr>
      </w:pPr>
      <w:r>
        <w:rPr>
          <w:rFonts w:eastAsia="仿宋_GB2312"/>
          <w:b/>
          <w:bCs/>
          <w:sz w:val="32"/>
          <w:szCs w:val="32"/>
        </w:rPr>
        <w:t>六、其他收入：</w:t>
      </w:r>
      <w:r>
        <w:rPr>
          <w:rFonts w:eastAsia="仿宋_GB2312"/>
          <w:sz w:val="32"/>
          <w:szCs w:val="32"/>
        </w:rPr>
        <w:t>指除上述“财政拨款收入”、“事业收入”、“经营收入”、“附属单位上缴收入”等之外取得的收入。</w:t>
      </w:r>
    </w:p>
    <w:p>
      <w:pPr>
        <w:autoSpaceDE w:val="0"/>
        <w:autoSpaceDN w:val="0"/>
        <w:ind w:firstLine="643" w:firstLineChars="200"/>
        <w:jc w:val="left"/>
        <w:rPr>
          <w:rFonts w:eastAsia="仿宋_GB2312"/>
          <w:sz w:val="32"/>
          <w:szCs w:val="32"/>
        </w:rPr>
      </w:pPr>
      <w:r>
        <w:rPr>
          <w:rFonts w:eastAsia="仿宋_GB2312"/>
          <w:b/>
          <w:bCs/>
          <w:sz w:val="32"/>
          <w:szCs w:val="32"/>
        </w:rPr>
        <w:t>七、年初结转和结余：</w:t>
      </w:r>
      <w:r>
        <w:rPr>
          <w:rFonts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3" w:firstLineChars="200"/>
        <w:jc w:val="left"/>
        <w:rPr>
          <w:rFonts w:eastAsia="仿宋_GB2312"/>
          <w:sz w:val="32"/>
          <w:szCs w:val="32"/>
        </w:rPr>
      </w:pPr>
      <w:r>
        <w:rPr>
          <w:rFonts w:eastAsia="仿宋_GB2312"/>
          <w:b/>
          <w:bCs/>
          <w:sz w:val="32"/>
          <w:szCs w:val="32"/>
        </w:rPr>
        <w:t>八、年末结转和结余：</w:t>
      </w:r>
      <w:r>
        <w:rPr>
          <w:rFonts w:eastAsia="仿宋_GB2312"/>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3" w:firstLineChars="200"/>
        <w:jc w:val="left"/>
        <w:rPr>
          <w:rFonts w:eastAsia="仿宋_GB2312"/>
          <w:sz w:val="32"/>
          <w:szCs w:val="32"/>
        </w:rPr>
      </w:pPr>
      <w:r>
        <w:rPr>
          <w:rFonts w:eastAsia="仿宋_GB2312"/>
          <w:b/>
          <w:bCs/>
          <w:sz w:val="32"/>
          <w:szCs w:val="32"/>
        </w:rPr>
        <w:t>九、基本支出：</w:t>
      </w:r>
      <w:r>
        <w:rPr>
          <w:rFonts w:eastAsia="仿宋_GB2312"/>
          <w:sz w:val="32"/>
          <w:szCs w:val="32"/>
        </w:rPr>
        <w:t>指为保障机构正常运转、完成日常工作任务而发生的人员支出和公用支出。</w:t>
      </w:r>
    </w:p>
    <w:p>
      <w:pPr>
        <w:autoSpaceDE w:val="0"/>
        <w:autoSpaceDN w:val="0"/>
        <w:ind w:firstLine="643" w:firstLineChars="200"/>
        <w:jc w:val="left"/>
        <w:rPr>
          <w:rFonts w:eastAsia="仿宋_GB2312"/>
          <w:sz w:val="32"/>
          <w:szCs w:val="32"/>
        </w:rPr>
      </w:pPr>
      <w:r>
        <w:rPr>
          <w:rFonts w:eastAsia="仿宋_GB2312"/>
          <w:b/>
          <w:bCs/>
          <w:sz w:val="32"/>
          <w:szCs w:val="32"/>
        </w:rPr>
        <w:t>十、项目支出：</w:t>
      </w:r>
      <w:r>
        <w:rPr>
          <w:rFonts w:eastAsia="仿宋_GB2312"/>
          <w:sz w:val="32"/>
          <w:szCs w:val="32"/>
        </w:rPr>
        <w:t>指在基本支出之外为完成特定行政任务和事业发展目标所发生的支出。</w:t>
      </w:r>
    </w:p>
    <w:p>
      <w:pPr>
        <w:autoSpaceDE w:val="0"/>
        <w:autoSpaceDN w:val="0"/>
        <w:ind w:firstLine="643" w:firstLineChars="200"/>
        <w:rPr>
          <w:rFonts w:eastAsia="仿宋_GB2312"/>
          <w:sz w:val="32"/>
          <w:szCs w:val="32"/>
        </w:rPr>
      </w:pPr>
      <w:r>
        <w:rPr>
          <w:rFonts w:eastAsia="仿宋_GB2312"/>
          <w:b/>
          <w:bCs/>
          <w:sz w:val="32"/>
          <w:szCs w:val="32"/>
        </w:rPr>
        <w:t>十一、经营支出：</w:t>
      </w:r>
      <w:r>
        <w:rPr>
          <w:rFonts w:eastAsia="仿宋_GB2312"/>
          <w:sz w:val="32"/>
          <w:szCs w:val="32"/>
        </w:rPr>
        <w:t>指事业单位在专业业务活动及其辅助活动之外开展非独立核算经营活动发生的支出。</w:t>
      </w:r>
    </w:p>
    <w:p>
      <w:pPr>
        <w:autoSpaceDE w:val="0"/>
        <w:autoSpaceDN w:val="0"/>
        <w:ind w:firstLine="643" w:firstLineChars="200"/>
        <w:rPr>
          <w:rFonts w:eastAsia="仿宋_GB2312"/>
          <w:sz w:val="32"/>
          <w:szCs w:val="32"/>
        </w:rPr>
      </w:pPr>
      <w:r>
        <w:rPr>
          <w:rFonts w:eastAsia="仿宋_GB2312"/>
          <w:b/>
          <w:bCs/>
          <w:sz w:val="32"/>
          <w:szCs w:val="32"/>
        </w:rPr>
        <w:t>十二、对附属单位补助支出：</w:t>
      </w:r>
      <w:r>
        <w:rPr>
          <w:rFonts w:eastAsia="仿宋_GB2312"/>
          <w:sz w:val="32"/>
          <w:szCs w:val="32"/>
        </w:rPr>
        <w:t>指事业单位发生的用非财政预算资金对附属单位的补助支出。</w:t>
      </w:r>
    </w:p>
    <w:p>
      <w:pPr>
        <w:autoSpaceDE w:val="0"/>
        <w:autoSpaceDN w:val="0"/>
        <w:ind w:firstLine="643" w:firstLineChars="200"/>
        <w:rPr>
          <w:rFonts w:eastAsia="仿宋_GB2312"/>
          <w:sz w:val="32"/>
          <w:szCs w:val="32"/>
        </w:rPr>
      </w:pPr>
      <w:r>
        <w:rPr>
          <w:rFonts w:eastAsia="仿宋_GB2312"/>
          <w:b/>
          <w:bCs/>
          <w:sz w:val="32"/>
          <w:szCs w:val="32"/>
        </w:rPr>
        <w:t>十三、“三公”经费：</w:t>
      </w:r>
      <w:r>
        <w:rPr>
          <w:rFonts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3" w:firstLineChars="200"/>
        <w:rPr>
          <w:rFonts w:eastAsia="仿宋_GB2312"/>
          <w:sz w:val="32"/>
          <w:szCs w:val="32"/>
        </w:rPr>
      </w:pPr>
      <w:r>
        <w:rPr>
          <w:rFonts w:eastAsia="仿宋_GB2312"/>
          <w:b/>
          <w:bCs/>
          <w:sz w:val="32"/>
          <w:szCs w:val="32"/>
        </w:rPr>
        <w:t>十四、机关运行经费：</w:t>
      </w:r>
      <w:r>
        <w:rPr>
          <w:rFonts w:eastAsia="仿宋_GB2312"/>
          <w:sz w:val="32"/>
          <w:szCs w:val="32"/>
        </w:rPr>
        <w:t>行政单位和参照公务员法管理的事业单位财政拨款基本支出中的公用经费支出。</w:t>
      </w:r>
    </w:p>
    <w:p>
      <w:pPr>
        <w:ind w:firstLine="640" w:firstLineChars="200"/>
        <w:jc w:val="center"/>
        <w:outlineLvl w:val="0"/>
        <w:rPr>
          <w:rFonts w:eastAsia="黑体"/>
          <w:sz w:val="32"/>
          <w:szCs w:val="32"/>
        </w:rPr>
      </w:pPr>
      <w:r>
        <w:rPr>
          <w:rFonts w:eastAsia="仿宋_GB2312"/>
          <w:sz w:val="32"/>
          <w:szCs w:val="32"/>
        </w:rPr>
        <w:br w:type="page"/>
      </w:r>
      <w:r>
        <w:rPr>
          <w:rFonts w:eastAsia="黑体"/>
          <w:sz w:val="32"/>
          <w:szCs w:val="32"/>
        </w:rPr>
        <w:t>第四部分 部门决算报表（见附表）</w:t>
      </w:r>
    </w:p>
    <w:p>
      <w:pPr>
        <w:ind w:firstLine="640" w:firstLineChars="200"/>
        <w:outlineLvl w:val="1"/>
        <w:rPr>
          <w:rFonts w:eastAsia="仿宋_GB2312"/>
          <w:bCs/>
          <w:kern w:val="0"/>
          <w:sz w:val="32"/>
          <w:szCs w:val="32"/>
        </w:rPr>
      </w:pPr>
      <w:bookmarkStart w:id="32" w:name="_Toc2183"/>
      <w:bookmarkStart w:id="33" w:name="_Toc6062"/>
      <w:r>
        <w:rPr>
          <w:rFonts w:eastAsia="仿宋_GB2312"/>
          <w:bCs/>
          <w:kern w:val="0"/>
          <w:sz w:val="32"/>
          <w:szCs w:val="32"/>
        </w:rPr>
        <w:t>一、《收入支出决算总表》</w:t>
      </w:r>
      <w:bookmarkEnd w:id="32"/>
      <w:bookmarkEnd w:id="33"/>
    </w:p>
    <w:p>
      <w:pPr>
        <w:ind w:firstLine="640" w:firstLineChars="200"/>
        <w:outlineLvl w:val="1"/>
        <w:rPr>
          <w:rFonts w:eastAsia="仿宋_GB2312"/>
          <w:bCs/>
          <w:kern w:val="0"/>
          <w:sz w:val="32"/>
          <w:szCs w:val="32"/>
        </w:rPr>
      </w:pPr>
      <w:bookmarkStart w:id="34" w:name="_Toc30364"/>
      <w:bookmarkStart w:id="35" w:name="_Toc24532"/>
      <w:r>
        <w:rPr>
          <w:rFonts w:eastAsia="仿宋_GB2312"/>
          <w:bCs/>
          <w:kern w:val="0"/>
          <w:sz w:val="32"/>
          <w:szCs w:val="32"/>
        </w:rPr>
        <w:t>二、《收入决算表》</w:t>
      </w:r>
      <w:bookmarkEnd w:id="34"/>
      <w:bookmarkEnd w:id="35"/>
    </w:p>
    <w:p>
      <w:pPr>
        <w:ind w:firstLine="640" w:firstLineChars="200"/>
        <w:outlineLvl w:val="1"/>
        <w:rPr>
          <w:rFonts w:eastAsia="仿宋_GB2312"/>
          <w:bCs/>
          <w:kern w:val="0"/>
          <w:sz w:val="32"/>
          <w:szCs w:val="32"/>
        </w:rPr>
      </w:pPr>
      <w:bookmarkStart w:id="36" w:name="_Toc21304"/>
      <w:bookmarkStart w:id="37" w:name="_Toc32434"/>
      <w:r>
        <w:rPr>
          <w:rFonts w:eastAsia="仿宋_GB2312"/>
          <w:bCs/>
          <w:kern w:val="0"/>
          <w:sz w:val="32"/>
          <w:szCs w:val="32"/>
        </w:rPr>
        <w:t>三、《支出决算表》</w:t>
      </w:r>
      <w:bookmarkEnd w:id="36"/>
      <w:bookmarkEnd w:id="37"/>
    </w:p>
    <w:p>
      <w:pPr>
        <w:ind w:firstLine="640" w:firstLineChars="200"/>
        <w:outlineLvl w:val="1"/>
        <w:rPr>
          <w:rFonts w:eastAsia="仿宋_GB2312"/>
          <w:bCs/>
          <w:kern w:val="0"/>
          <w:sz w:val="32"/>
          <w:szCs w:val="32"/>
        </w:rPr>
      </w:pPr>
      <w:bookmarkStart w:id="38" w:name="_Toc14238"/>
      <w:bookmarkStart w:id="39" w:name="_Toc28786"/>
      <w:r>
        <w:rPr>
          <w:rFonts w:eastAsia="仿宋_GB2312"/>
          <w:bCs/>
          <w:kern w:val="0"/>
          <w:sz w:val="32"/>
          <w:szCs w:val="32"/>
        </w:rPr>
        <w:t>四、《财政拨款收入支出决算总表》</w:t>
      </w:r>
      <w:bookmarkEnd w:id="38"/>
      <w:bookmarkEnd w:id="39"/>
    </w:p>
    <w:p>
      <w:pPr>
        <w:ind w:firstLine="640" w:firstLineChars="200"/>
        <w:outlineLvl w:val="1"/>
        <w:rPr>
          <w:rFonts w:eastAsia="仿宋_GB2312"/>
          <w:bCs/>
          <w:kern w:val="0"/>
          <w:sz w:val="32"/>
          <w:szCs w:val="32"/>
        </w:rPr>
      </w:pPr>
      <w:bookmarkStart w:id="40" w:name="_Toc10347"/>
      <w:bookmarkStart w:id="41" w:name="_Toc14869"/>
      <w:r>
        <w:rPr>
          <w:rFonts w:eastAsia="仿宋_GB2312"/>
          <w:bCs/>
          <w:kern w:val="0"/>
          <w:sz w:val="32"/>
          <w:szCs w:val="32"/>
        </w:rPr>
        <w:t>五、《一般公共预算财政拨款支出决算表》</w:t>
      </w:r>
      <w:bookmarkEnd w:id="40"/>
      <w:bookmarkEnd w:id="41"/>
    </w:p>
    <w:p>
      <w:pPr>
        <w:ind w:firstLine="640" w:firstLineChars="200"/>
        <w:outlineLvl w:val="1"/>
        <w:rPr>
          <w:rFonts w:eastAsia="仿宋_GB2312"/>
          <w:bCs/>
          <w:kern w:val="0"/>
          <w:sz w:val="32"/>
          <w:szCs w:val="32"/>
        </w:rPr>
      </w:pPr>
      <w:bookmarkStart w:id="42" w:name="_Toc5626"/>
      <w:bookmarkStart w:id="43" w:name="_Toc8884"/>
      <w:r>
        <w:rPr>
          <w:rFonts w:eastAsia="仿宋_GB2312"/>
          <w:bCs/>
          <w:kern w:val="0"/>
          <w:sz w:val="32"/>
          <w:szCs w:val="32"/>
        </w:rPr>
        <w:t>六、《一般公共预算财政拨款基本支出决算表》</w:t>
      </w:r>
      <w:bookmarkEnd w:id="42"/>
      <w:bookmarkEnd w:id="43"/>
    </w:p>
    <w:p>
      <w:pPr>
        <w:ind w:firstLine="640" w:firstLineChars="200"/>
        <w:outlineLvl w:val="1"/>
        <w:rPr>
          <w:rFonts w:eastAsia="仿宋_GB2312"/>
          <w:bCs/>
          <w:kern w:val="0"/>
          <w:sz w:val="32"/>
          <w:szCs w:val="32"/>
        </w:rPr>
      </w:pPr>
      <w:r>
        <w:rPr>
          <w:rFonts w:eastAsia="仿宋_GB2312"/>
          <w:bCs/>
          <w:kern w:val="0"/>
          <w:sz w:val="32"/>
          <w:szCs w:val="32"/>
        </w:rPr>
        <w:t>七、</w:t>
      </w:r>
      <w:bookmarkStart w:id="44" w:name="_Toc29106"/>
      <w:bookmarkStart w:id="45" w:name="_Toc32663"/>
      <w:r>
        <w:rPr>
          <w:rFonts w:eastAsia="仿宋_GB2312"/>
          <w:bCs/>
          <w:kern w:val="0"/>
          <w:sz w:val="32"/>
          <w:szCs w:val="32"/>
        </w:rPr>
        <w:t>《财政拨款“三公”经费支出决算表》</w:t>
      </w:r>
      <w:bookmarkEnd w:id="44"/>
      <w:bookmarkEnd w:id="45"/>
    </w:p>
    <w:p>
      <w:pPr>
        <w:ind w:firstLine="640" w:firstLineChars="200"/>
        <w:outlineLvl w:val="1"/>
        <w:rPr>
          <w:rFonts w:eastAsia="仿宋_GB2312"/>
          <w:bCs/>
          <w:kern w:val="0"/>
          <w:sz w:val="32"/>
          <w:szCs w:val="32"/>
        </w:rPr>
      </w:pPr>
      <w:bookmarkStart w:id="46" w:name="_Toc5453"/>
      <w:bookmarkStart w:id="47" w:name="_Toc7643"/>
      <w:r>
        <w:rPr>
          <w:rFonts w:eastAsia="仿宋_GB2312"/>
          <w:bCs/>
          <w:kern w:val="0"/>
          <w:sz w:val="32"/>
          <w:szCs w:val="32"/>
        </w:rPr>
        <w:t>八、《政府性基金预算财政拨款收入支出决算表》</w:t>
      </w:r>
      <w:bookmarkEnd w:id="46"/>
      <w:bookmarkEnd w:id="47"/>
    </w:p>
    <w:p>
      <w:pPr>
        <w:ind w:firstLine="640" w:firstLineChars="200"/>
        <w:outlineLvl w:val="1"/>
        <w:rPr>
          <w:rFonts w:eastAsia="仿宋_GB2312"/>
          <w:bCs/>
          <w:kern w:val="0"/>
          <w:sz w:val="32"/>
          <w:szCs w:val="32"/>
        </w:rPr>
      </w:pPr>
      <w:r>
        <w:rPr>
          <w:rFonts w:eastAsia="仿宋_GB2312"/>
          <w:bCs/>
          <w:kern w:val="0"/>
          <w:sz w:val="32"/>
          <w:szCs w:val="32"/>
        </w:rPr>
        <w:t>九、《国有资本经营预算财政拨款收入支出决算表》</w:t>
      </w:r>
    </w:p>
    <w:p>
      <w:pPr>
        <w:ind w:firstLine="640" w:firstLineChars="200"/>
        <w:rPr>
          <w:rFonts w:eastAsia="仿宋_GB2312"/>
          <w:sz w:val="32"/>
          <w:szCs w:val="32"/>
        </w:rPr>
      </w:pPr>
    </w:p>
    <w:p>
      <w:pPr>
        <w:ind w:firstLine="640" w:firstLineChars="200"/>
        <w:outlineLvl w:val="1"/>
        <w:rPr>
          <w:rFonts w:eastAsia="黑体"/>
          <w:bCs/>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F031D"/>
    <w:multiLevelType w:val="singleLevel"/>
    <w:tmpl w:val="103F03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MzJhNzU1ZDBkN2Y0OWYxMGMxOGY0MmNhNDk1MjUifQ=="/>
    <w:docVar w:name="KSO_WPS_MARK_KEY" w:val="41ee2a61-2d54-4f93-83be-afdb9a40d732"/>
  </w:docVars>
  <w:rsids>
    <w:rsidRoot w:val="00EB7B90"/>
    <w:rsid w:val="001B6BB7"/>
    <w:rsid w:val="00213C59"/>
    <w:rsid w:val="003210CE"/>
    <w:rsid w:val="004F0539"/>
    <w:rsid w:val="00504EB8"/>
    <w:rsid w:val="006C0689"/>
    <w:rsid w:val="009F10B0"/>
    <w:rsid w:val="00A12E1E"/>
    <w:rsid w:val="00AA57CB"/>
    <w:rsid w:val="00AE19F1"/>
    <w:rsid w:val="00B039A1"/>
    <w:rsid w:val="00B70D59"/>
    <w:rsid w:val="00C508B2"/>
    <w:rsid w:val="00D670F8"/>
    <w:rsid w:val="00DC6A45"/>
    <w:rsid w:val="00E204A5"/>
    <w:rsid w:val="00EB7B90"/>
    <w:rsid w:val="00ED15CC"/>
    <w:rsid w:val="00ED744E"/>
    <w:rsid w:val="00F0433C"/>
    <w:rsid w:val="00F52A8D"/>
    <w:rsid w:val="019404F8"/>
    <w:rsid w:val="01ED22F2"/>
    <w:rsid w:val="02BD3108"/>
    <w:rsid w:val="02F73D26"/>
    <w:rsid w:val="034D4FEF"/>
    <w:rsid w:val="035D1785"/>
    <w:rsid w:val="039F47CE"/>
    <w:rsid w:val="03E05CE8"/>
    <w:rsid w:val="03F973EE"/>
    <w:rsid w:val="043E5B56"/>
    <w:rsid w:val="04C04386"/>
    <w:rsid w:val="04D96608"/>
    <w:rsid w:val="04FA68C4"/>
    <w:rsid w:val="053F5AE6"/>
    <w:rsid w:val="057C0B0F"/>
    <w:rsid w:val="05EF4B48"/>
    <w:rsid w:val="05F76ECA"/>
    <w:rsid w:val="06792773"/>
    <w:rsid w:val="07093795"/>
    <w:rsid w:val="07804730"/>
    <w:rsid w:val="079052BE"/>
    <w:rsid w:val="08145C21"/>
    <w:rsid w:val="08422688"/>
    <w:rsid w:val="085854ED"/>
    <w:rsid w:val="0879188F"/>
    <w:rsid w:val="08A0354D"/>
    <w:rsid w:val="08CD4C49"/>
    <w:rsid w:val="09114954"/>
    <w:rsid w:val="095A5B83"/>
    <w:rsid w:val="096466E3"/>
    <w:rsid w:val="0968304D"/>
    <w:rsid w:val="09AF3D17"/>
    <w:rsid w:val="0A7809B7"/>
    <w:rsid w:val="0A7B4867"/>
    <w:rsid w:val="0A840954"/>
    <w:rsid w:val="0A9928ED"/>
    <w:rsid w:val="0B61769D"/>
    <w:rsid w:val="0B8C3ECC"/>
    <w:rsid w:val="0B9C639D"/>
    <w:rsid w:val="0BB052B2"/>
    <w:rsid w:val="0BD33FFC"/>
    <w:rsid w:val="0BE97AC1"/>
    <w:rsid w:val="0C1C4780"/>
    <w:rsid w:val="0C3613A3"/>
    <w:rsid w:val="0C5E519C"/>
    <w:rsid w:val="0C7227A7"/>
    <w:rsid w:val="0CA52EE8"/>
    <w:rsid w:val="0CBD6988"/>
    <w:rsid w:val="0CD208AC"/>
    <w:rsid w:val="0D4903E8"/>
    <w:rsid w:val="0D7A4A46"/>
    <w:rsid w:val="0E640559"/>
    <w:rsid w:val="0F1113DA"/>
    <w:rsid w:val="0F78534A"/>
    <w:rsid w:val="0F89358A"/>
    <w:rsid w:val="0F8C6D51"/>
    <w:rsid w:val="105B0B5E"/>
    <w:rsid w:val="112E58D0"/>
    <w:rsid w:val="11731CAC"/>
    <w:rsid w:val="119500A0"/>
    <w:rsid w:val="11C0733B"/>
    <w:rsid w:val="11D50D17"/>
    <w:rsid w:val="120E0809"/>
    <w:rsid w:val="127F665A"/>
    <w:rsid w:val="12F7068C"/>
    <w:rsid w:val="14207DC0"/>
    <w:rsid w:val="14B932DA"/>
    <w:rsid w:val="150A66AF"/>
    <w:rsid w:val="154C1139"/>
    <w:rsid w:val="158C5B77"/>
    <w:rsid w:val="160D1149"/>
    <w:rsid w:val="163563C0"/>
    <w:rsid w:val="164315EF"/>
    <w:rsid w:val="16557DFE"/>
    <w:rsid w:val="167268FB"/>
    <w:rsid w:val="16770D0A"/>
    <w:rsid w:val="16D50C50"/>
    <w:rsid w:val="16E120E1"/>
    <w:rsid w:val="17385A05"/>
    <w:rsid w:val="173B3901"/>
    <w:rsid w:val="176747F9"/>
    <w:rsid w:val="17954A6E"/>
    <w:rsid w:val="180059E9"/>
    <w:rsid w:val="184510FD"/>
    <w:rsid w:val="190648B0"/>
    <w:rsid w:val="19071D6C"/>
    <w:rsid w:val="19D26CD4"/>
    <w:rsid w:val="19E60D19"/>
    <w:rsid w:val="1A3E3450"/>
    <w:rsid w:val="1AD807E5"/>
    <w:rsid w:val="1B39345B"/>
    <w:rsid w:val="1BFB2A1F"/>
    <w:rsid w:val="1C015D4A"/>
    <w:rsid w:val="1C290ED5"/>
    <w:rsid w:val="1C317E4F"/>
    <w:rsid w:val="1C472464"/>
    <w:rsid w:val="1D22799A"/>
    <w:rsid w:val="1D5C1A72"/>
    <w:rsid w:val="1DAF458D"/>
    <w:rsid w:val="1E086ACE"/>
    <w:rsid w:val="1E62130A"/>
    <w:rsid w:val="1E97358B"/>
    <w:rsid w:val="1EAA4A5F"/>
    <w:rsid w:val="1EE869A7"/>
    <w:rsid w:val="1FA15E62"/>
    <w:rsid w:val="1FED69B6"/>
    <w:rsid w:val="2064678E"/>
    <w:rsid w:val="20DC1AB9"/>
    <w:rsid w:val="20DD6197"/>
    <w:rsid w:val="212631E0"/>
    <w:rsid w:val="21A53757"/>
    <w:rsid w:val="221236C6"/>
    <w:rsid w:val="22D7662C"/>
    <w:rsid w:val="23326B7F"/>
    <w:rsid w:val="2380045B"/>
    <w:rsid w:val="23BC04D2"/>
    <w:rsid w:val="23EF1892"/>
    <w:rsid w:val="2483647E"/>
    <w:rsid w:val="24A32D55"/>
    <w:rsid w:val="25292727"/>
    <w:rsid w:val="252E5CA9"/>
    <w:rsid w:val="256F7692"/>
    <w:rsid w:val="25BA2154"/>
    <w:rsid w:val="25C8773F"/>
    <w:rsid w:val="264A7253"/>
    <w:rsid w:val="26F0170C"/>
    <w:rsid w:val="27201D62"/>
    <w:rsid w:val="27286E73"/>
    <w:rsid w:val="27CF2642"/>
    <w:rsid w:val="27E777F5"/>
    <w:rsid w:val="27EA1D4C"/>
    <w:rsid w:val="27EA2E41"/>
    <w:rsid w:val="282459E2"/>
    <w:rsid w:val="283A7FE5"/>
    <w:rsid w:val="285F51FF"/>
    <w:rsid w:val="28DF2665"/>
    <w:rsid w:val="29072599"/>
    <w:rsid w:val="291029F3"/>
    <w:rsid w:val="29CB58F0"/>
    <w:rsid w:val="2A053397"/>
    <w:rsid w:val="2A145E96"/>
    <w:rsid w:val="2A2131BB"/>
    <w:rsid w:val="2AF5378F"/>
    <w:rsid w:val="2BB94DBF"/>
    <w:rsid w:val="2C6F314E"/>
    <w:rsid w:val="2CC206BE"/>
    <w:rsid w:val="2D1136DF"/>
    <w:rsid w:val="2D20606D"/>
    <w:rsid w:val="2DB87198"/>
    <w:rsid w:val="2DB93C54"/>
    <w:rsid w:val="2E3D144C"/>
    <w:rsid w:val="2E891204"/>
    <w:rsid w:val="2F3F0A28"/>
    <w:rsid w:val="2FBF7029"/>
    <w:rsid w:val="2FD0187F"/>
    <w:rsid w:val="2FD27414"/>
    <w:rsid w:val="2FFE4BB0"/>
    <w:rsid w:val="300E7B60"/>
    <w:rsid w:val="300F6E18"/>
    <w:rsid w:val="30862F5F"/>
    <w:rsid w:val="314029C9"/>
    <w:rsid w:val="31C63837"/>
    <w:rsid w:val="31C82E39"/>
    <w:rsid w:val="32601BAD"/>
    <w:rsid w:val="329F6389"/>
    <w:rsid w:val="3389023A"/>
    <w:rsid w:val="33CB74FA"/>
    <w:rsid w:val="343642F2"/>
    <w:rsid w:val="343F3010"/>
    <w:rsid w:val="345D0A00"/>
    <w:rsid w:val="34713BFD"/>
    <w:rsid w:val="34C13589"/>
    <w:rsid w:val="353369E3"/>
    <w:rsid w:val="35B21E0B"/>
    <w:rsid w:val="35E00D72"/>
    <w:rsid w:val="36965B9D"/>
    <w:rsid w:val="36C549FD"/>
    <w:rsid w:val="37A755DD"/>
    <w:rsid w:val="37F94FA0"/>
    <w:rsid w:val="380D3381"/>
    <w:rsid w:val="38115B1F"/>
    <w:rsid w:val="385E3AC3"/>
    <w:rsid w:val="387D6B9E"/>
    <w:rsid w:val="38B75FF0"/>
    <w:rsid w:val="38D45016"/>
    <w:rsid w:val="38D90432"/>
    <w:rsid w:val="3914510A"/>
    <w:rsid w:val="3926770B"/>
    <w:rsid w:val="398D3668"/>
    <w:rsid w:val="39DA0497"/>
    <w:rsid w:val="3A893816"/>
    <w:rsid w:val="3A893B6D"/>
    <w:rsid w:val="3AD1763A"/>
    <w:rsid w:val="3B6716E3"/>
    <w:rsid w:val="3B6C6B2D"/>
    <w:rsid w:val="3C242659"/>
    <w:rsid w:val="3C96719C"/>
    <w:rsid w:val="3CA72BE8"/>
    <w:rsid w:val="3CF37F8C"/>
    <w:rsid w:val="3D137554"/>
    <w:rsid w:val="3D5275AC"/>
    <w:rsid w:val="3DCC2473"/>
    <w:rsid w:val="3DEB0883"/>
    <w:rsid w:val="3E2527BF"/>
    <w:rsid w:val="3E731662"/>
    <w:rsid w:val="3E8168DD"/>
    <w:rsid w:val="3EA7725F"/>
    <w:rsid w:val="3EB03713"/>
    <w:rsid w:val="3EBF1A11"/>
    <w:rsid w:val="3EC52607"/>
    <w:rsid w:val="3EEC6CEF"/>
    <w:rsid w:val="3F183429"/>
    <w:rsid w:val="3FB77A1D"/>
    <w:rsid w:val="3FDC3674"/>
    <w:rsid w:val="3FED7F8A"/>
    <w:rsid w:val="40094AEF"/>
    <w:rsid w:val="405470BD"/>
    <w:rsid w:val="40794A29"/>
    <w:rsid w:val="40834692"/>
    <w:rsid w:val="41431AD5"/>
    <w:rsid w:val="414B3C0F"/>
    <w:rsid w:val="417C1CE7"/>
    <w:rsid w:val="41900018"/>
    <w:rsid w:val="41944406"/>
    <w:rsid w:val="41CE128F"/>
    <w:rsid w:val="41DA6F12"/>
    <w:rsid w:val="42171FB1"/>
    <w:rsid w:val="434E6957"/>
    <w:rsid w:val="43BA0E31"/>
    <w:rsid w:val="43C15147"/>
    <w:rsid w:val="43E14DD2"/>
    <w:rsid w:val="43F800E9"/>
    <w:rsid w:val="443A7E4B"/>
    <w:rsid w:val="452F5B3A"/>
    <w:rsid w:val="454E7FD2"/>
    <w:rsid w:val="46061BDC"/>
    <w:rsid w:val="461404F8"/>
    <w:rsid w:val="46413018"/>
    <w:rsid w:val="464B7E04"/>
    <w:rsid w:val="468041AA"/>
    <w:rsid w:val="468123C6"/>
    <w:rsid w:val="46901EEE"/>
    <w:rsid w:val="469C74D2"/>
    <w:rsid w:val="47445515"/>
    <w:rsid w:val="474B4782"/>
    <w:rsid w:val="47D90D14"/>
    <w:rsid w:val="48387FB0"/>
    <w:rsid w:val="483A6114"/>
    <w:rsid w:val="488727DB"/>
    <w:rsid w:val="48B82268"/>
    <w:rsid w:val="48C354B3"/>
    <w:rsid w:val="493D58B5"/>
    <w:rsid w:val="494A7A04"/>
    <w:rsid w:val="4A0A26D2"/>
    <w:rsid w:val="4A2019A5"/>
    <w:rsid w:val="4A241A0B"/>
    <w:rsid w:val="4A7B2875"/>
    <w:rsid w:val="4A934476"/>
    <w:rsid w:val="4AAA220A"/>
    <w:rsid w:val="4ABF6D2F"/>
    <w:rsid w:val="4AE12E67"/>
    <w:rsid w:val="4B4C0111"/>
    <w:rsid w:val="4B8553A9"/>
    <w:rsid w:val="4BDB3730"/>
    <w:rsid w:val="4C200F7A"/>
    <w:rsid w:val="4C765BE6"/>
    <w:rsid w:val="4CEE3180"/>
    <w:rsid w:val="4D0F4AF6"/>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16158"/>
    <w:rsid w:val="50DB5F45"/>
    <w:rsid w:val="51025EB1"/>
    <w:rsid w:val="51141503"/>
    <w:rsid w:val="518D0ED5"/>
    <w:rsid w:val="525C687F"/>
    <w:rsid w:val="52F647F7"/>
    <w:rsid w:val="52F92565"/>
    <w:rsid w:val="53395DE5"/>
    <w:rsid w:val="53D03877"/>
    <w:rsid w:val="542F73CA"/>
    <w:rsid w:val="5430786D"/>
    <w:rsid w:val="545A1D2A"/>
    <w:rsid w:val="54C811C0"/>
    <w:rsid w:val="556A442D"/>
    <w:rsid w:val="55DA564E"/>
    <w:rsid w:val="55E816A3"/>
    <w:rsid w:val="5604127D"/>
    <w:rsid w:val="56166703"/>
    <w:rsid w:val="56510474"/>
    <w:rsid w:val="56861525"/>
    <w:rsid w:val="56A93273"/>
    <w:rsid w:val="56BD550C"/>
    <w:rsid w:val="56E07045"/>
    <w:rsid w:val="56FF28AF"/>
    <w:rsid w:val="57540E7D"/>
    <w:rsid w:val="577B4878"/>
    <w:rsid w:val="57926973"/>
    <w:rsid w:val="58175352"/>
    <w:rsid w:val="581F2200"/>
    <w:rsid w:val="583059FA"/>
    <w:rsid w:val="584A0929"/>
    <w:rsid w:val="58CD2491"/>
    <w:rsid w:val="591B41B2"/>
    <w:rsid w:val="59254A26"/>
    <w:rsid w:val="59326325"/>
    <w:rsid w:val="595C505B"/>
    <w:rsid w:val="595E55C3"/>
    <w:rsid w:val="596E7E20"/>
    <w:rsid w:val="5A60780B"/>
    <w:rsid w:val="5AB34579"/>
    <w:rsid w:val="5AFC6609"/>
    <w:rsid w:val="5B113480"/>
    <w:rsid w:val="5BD456CE"/>
    <w:rsid w:val="5C0D1F49"/>
    <w:rsid w:val="5CBB0CE2"/>
    <w:rsid w:val="5CC17177"/>
    <w:rsid w:val="5CF306BC"/>
    <w:rsid w:val="5D3F3D64"/>
    <w:rsid w:val="5D833043"/>
    <w:rsid w:val="5DD92690"/>
    <w:rsid w:val="5DDB1CFD"/>
    <w:rsid w:val="5E7E6D93"/>
    <w:rsid w:val="5ED44800"/>
    <w:rsid w:val="5F350BDE"/>
    <w:rsid w:val="5F61632C"/>
    <w:rsid w:val="5FA17648"/>
    <w:rsid w:val="5FE705CB"/>
    <w:rsid w:val="603D5080"/>
    <w:rsid w:val="60D0261B"/>
    <w:rsid w:val="618E3791"/>
    <w:rsid w:val="61947DCA"/>
    <w:rsid w:val="61A46A97"/>
    <w:rsid w:val="61D1382F"/>
    <w:rsid w:val="61F114A2"/>
    <w:rsid w:val="622B0ABA"/>
    <w:rsid w:val="62512BB4"/>
    <w:rsid w:val="625D7D1A"/>
    <w:rsid w:val="62DD7D21"/>
    <w:rsid w:val="637D586B"/>
    <w:rsid w:val="63A5560B"/>
    <w:rsid w:val="63E9091F"/>
    <w:rsid w:val="64322AF9"/>
    <w:rsid w:val="64D6010D"/>
    <w:rsid w:val="64D82665"/>
    <w:rsid w:val="64E47C96"/>
    <w:rsid w:val="651E5741"/>
    <w:rsid w:val="658A4877"/>
    <w:rsid w:val="65A00902"/>
    <w:rsid w:val="65AC6EDD"/>
    <w:rsid w:val="65D97752"/>
    <w:rsid w:val="66085536"/>
    <w:rsid w:val="66105BF7"/>
    <w:rsid w:val="66150023"/>
    <w:rsid w:val="6628010D"/>
    <w:rsid w:val="669B4528"/>
    <w:rsid w:val="66CC12D7"/>
    <w:rsid w:val="67134CEF"/>
    <w:rsid w:val="671F1ABD"/>
    <w:rsid w:val="67521A59"/>
    <w:rsid w:val="67C304AB"/>
    <w:rsid w:val="683F0658"/>
    <w:rsid w:val="689C6793"/>
    <w:rsid w:val="68DB0208"/>
    <w:rsid w:val="68FB170C"/>
    <w:rsid w:val="691B3D98"/>
    <w:rsid w:val="693748F0"/>
    <w:rsid w:val="69846A0E"/>
    <w:rsid w:val="69AA1366"/>
    <w:rsid w:val="69AD798C"/>
    <w:rsid w:val="69D005C0"/>
    <w:rsid w:val="69D80B96"/>
    <w:rsid w:val="6B68175F"/>
    <w:rsid w:val="6BFD799F"/>
    <w:rsid w:val="6C4A2E5A"/>
    <w:rsid w:val="6C8138D0"/>
    <w:rsid w:val="6CEF0725"/>
    <w:rsid w:val="6D4B2604"/>
    <w:rsid w:val="6D8030E4"/>
    <w:rsid w:val="6E0E35C4"/>
    <w:rsid w:val="6E0F7A08"/>
    <w:rsid w:val="6E3947F5"/>
    <w:rsid w:val="6E6E3938"/>
    <w:rsid w:val="6E9C74ED"/>
    <w:rsid w:val="6EF72976"/>
    <w:rsid w:val="6F795A80"/>
    <w:rsid w:val="6F7C1D2E"/>
    <w:rsid w:val="6F8E0407"/>
    <w:rsid w:val="6FDD069F"/>
    <w:rsid w:val="702B4D16"/>
    <w:rsid w:val="70AA6621"/>
    <w:rsid w:val="7111480F"/>
    <w:rsid w:val="71261F49"/>
    <w:rsid w:val="712E6956"/>
    <w:rsid w:val="71473612"/>
    <w:rsid w:val="71504F32"/>
    <w:rsid w:val="7152309F"/>
    <w:rsid w:val="718F7F65"/>
    <w:rsid w:val="727B234E"/>
    <w:rsid w:val="72D068C7"/>
    <w:rsid w:val="72E42ED8"/>
    <w:rsid w:val="735F4CB9"/>
    <w:rsid w:val="73674C62"/>
    <w:rsid w:val="73845865"/>
    <w:rsid w:val="739B6D9E"/>
    <w:rsid w:val="73BC1D76"/>
    <w:rsid w:val="73FB6630"/>
    <w:rsid w:val="748D790E"/>
    <w:rsid w:val="749820CC"/>
    <w:rsid w:val="74CE04EC"/>
    <w:rsid w:val="74E76DCD"/>
    <w:rsid w:val="751D7C0A"/>
    <w:rsid w:val="75722D56"/>
    <w:rsid w:val="75DB5477"/>
    <w:rsid w:val="75FC6AC3"/>
    <w:rsid w:val="7616619B"/>
    <w:rsid w:val="76660D7C"/>
    <w:rsid w:val="766C5968"/>
    <w:rsid w:val="76BE0C8F"/>
    <w:rsid w:val="76CD53B2"/>
    <w:rsid w:val="770719AC"/>
    <w:rsid w:val="776526CC"/>
    <w:rsid w:val="77A262E1"/>
    <w:rsid w:val="77B13C33"/>
    <w:rsid w:val="77ED6F44"/>
    <w:rsid w:val="77F45548"/>
    <w:rsid w:val="784E7CA6"/>
    <w:rsid w:val="78574801"/>
    <w:rsid w:val="7873527F"/>
    <w:rsid w:val="790A6425"/>
    <w:rsid w:val="790E2D96"/>
    <w:rsid w:val="791B54B2"/>
    <w:rsid w:val="795A0A34"/>
    <w:rsid w:val="797339C3"/>
    <w:rsid w:val="79D57D57"/>
    <w:rsid w:val="79F00650"/>
    <w:rsid w:val="7A6242BF"/>
    <w:rsid w:val="7A794513"/>
    <w:rsid w:val="7AE952D2"/>
    <w:rsid w:val="7C7248A0"/>
    <w:rsid w:val="7C976D69"/>
    <w:rsid w:val="7CD752DA"/>
    <w:rsid w:val="7CDE40AB"/>
    <w:rsid w:val="7CF057E2"/>
    <w:rsid w:val="7D1548B5"/>
    <w:rsid w:val="7DF84014"/>
    <w:rsid w:val="7E207949"/>
    <w:rsid w:val="7E5C0A47"/>
    <w:rsid w:val="7E670C75"/>
    <w:rsid w:val="7EE24272"/>
    <w:rsid w:val="7EEA6053"/>
    <w:rsid w:val="7F487C04"/>
    <w:rsid w:val="7FB45F21"/>
    <w:rsid w:val="7FE57088"/>
    <w:rsid w:val="7FF3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paragraph" w:customStyle="1" w:styleId="1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4544</Words>
  <Characters>5101</Characters>
  <Lines>43</Lines>
  <Paragraphs>12</Paragraphs>
  <TotalTime>17</TotalTime>
  <ScaleCrop>false</ScaleCrop>
  <LinksUpToDate>false</LinksUpToDate>
  <CharactersWithSpaces>5113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2024-08-21T09:25:00Z</dcterms:created>
  <dc:creator>GXR</dc:creator>
  <cp:lastModifiedBy>Administrator</cp:lastModifiedBy>
  <dcterms:modified xsi:type="dcterms:W3CDTF">2024-11-01T10:41:15Z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D558756C15524E0FBE405871C81D8E80_13</vt:lpwstr>
  </property>
</Properties>
</file>