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916" w:type="dxa"/>
        <w:tblInd w:w="-7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028"/>
        <w:gridCol w:w="2305"/>
        <w:gridCol w:w="1306"/>
        <w:gridCol w:w="4972"/>
        <w:gridCol w:w="1083"/>
        <w:gridCol w:w="1556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部门（单位）整体支出绩效目标自评表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部门（单位）名称</w:t>
            </w:r>
          </w:p>
        </w:tc>
        <w:tc>
          <w:tcPr>
            <w:tcW w:w="14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新疆维吾尔自治区商务厅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部门资金（万元）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资金来源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年初预算数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全年预算数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全年执行数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分值权重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执行率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年度总资金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9255.17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19118.04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18751.58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98.08%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其中:上级安排（万元）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389.23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414.97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267.15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本级安排（万元）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8348.84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17965.16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17811.29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其他资金（万元）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517.1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737.91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673.14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年度总体目标</w:t>
            </w:r>
          </w:p>
        </w:tc>
        <w:tc>
          <w:tcPr>
            <w:tcW w:w="5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预期目标</w:t>
            </w:r>
          </w:p>
        </w:tc>
        <w:tc>
          <w:tcPr>
            <w:tcW w:w="8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按照《2024年新疆维吾尔自治区政府工作报告》确定的工作任务，自治区商务厅将推动消费加快增长，促进全区社会消费品零售总额增长；促进外贸固稳提质，实现全区进出口总额增长；完成好招商引资工作任务，访问周边国家，派员参加外事活动，做好政府间经贸合作，开展调研与考察，推进丝绸之路经济带核心区建设。</w:t>
            </w:r>
          </w:p>
        </w:tc>
        <w:tc>
          <w:tcPr>
            <w:tcW w:w="8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年商务指标均保持快速增长，外贸、消费、引进区外到位资金创历史新高，边境小额贸易、实际利用外资、外包工程营业额、网络零售额和口岸进出口货运量实现大幅提升。全年实现网络零售额723.3亿元，增长13.6%。出口增长22.3%、进口增长18.6%，进出口连续三年跨三个千亿元台阶再创历史新高。组织参加境内外展会22场，组织全区2200家企业、3600余人参展参会，展览面积1.3万平方米，举办新疆专场推介会13场，签订投资及贸易项目365个，签约金额6241.62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二级指标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三级指标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预期指标值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指标值设定依据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分值权重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实际完成指标值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履职效能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质量指标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社会消费品零售总额增长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&gt;=8%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《2024年新疆维吾尔自治区政府工作报告》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2%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进出口总额增长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&gt;=20%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《2024年新疆维吾尔自治区政府工作报告》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21.80%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服务对象满意度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参展参会企业满意度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&gt;=85%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2024年自治区商务厅《关于批复预算单位2024年预算的通知》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5ZWNjOGNmYmMwNjNlNDk4NzMyYjlmZDRmMTBlOGMifQ=="/>
  </w:docVars>
  <w:rsids>
    <w:rsidRoot w:val="00000000"/>
    <w:rsid w:val="7A625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宋体" w:hAnsi="宋体" w:eastAsia="宋体" w:cs="Songti SC"/>
      <w:kern w:val="2"/>
      <w:sz w:val="24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="10" w:afterAutospacing="0" w:line="240" w:lineRule="auto"/>
      <w:outlineLvl w:val="0"/>
    </w:pPr>
    <w:rPr>
      <w:rFonts w:ascii="宋体" w:hAnsi="宋体" w:eastAsia="Heiti SC Medium" w:cs="黑体-简"/>
      <w:b w:val="0"/>
      <w:kern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50" w:beforeAutospacing="0" w:afterLines="50" w:afterAutospacing="0" w:line="240" w:lineRule="auto"/>
      <w:jc w:val="left"/>
      <w:outlineLvl w:val="2"/>
    </w:pPr>
    <w:rPr>
      <w:rFonts w:ascii="Times New Roman" w:hAnsi="Times New Roman" w:eastAsia="黑体" w:cs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endnote reference"/>
    <w:basedOn w:val="8"/>
    <w:qFormat/>
    <w:uiPriority w:val="0"/>
    <w:rPr>
      <w:vertAlign w:val="superscript"/>
    </w:rPr>
  </w:style>
  <w:style w:type="character" w:styleId="10">
    <w:name w:val="footnote reference"/>
    <w:basedOn w:val="9"/>
    <w:uiPriority w:val="0"/>
    <w:rPr>
      <w:rFonts w:ascii="Times New Roman" w:hAnsi="Times New Roman" w:eastAsia="Songti SC"/>
      <w:sz w:val="21"/>
      <w:szCs w:val="21"/>
    </w:rPr>
  </w:style>
  <w:style w:type="paragraph" w:customStyle="1" w:styleId="11">
    <w:name w:val="样式2"/>
    <w:basedOn w:val="1"/>
    <w:uiPriority w:val="0"/>
    <w:pPr>
      <w:tabs>
        <w:tab w:val="right" w:leader="dot" w:pos="8306"/>
      </w:tabs>
      <w:spacing w:line="360" w:lineRule="auto"/>
    </w:pPr>
    <w:rPr>
      <w:rFonts w:ascii="Times New Roman Regular" w:hAnsi="Times New Roman Regular" w:eastAsia="黑体" w:cs="Times New Roman Regul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2025-08-27T17:47:00Z</dcterms:created>
  <dc:creator>BaRnaaaa</dc:creator>
  <cp:lastModifiedBy>32828</cp:lastModifiedBy>
  <dcterms:modified xsi:type="dcterms:W3CDTF">2025-08-28T10:12:02Z</dcterms:modified>
  <dc:title>部门（单位）整体支出绩效目标自评表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426AD83DAC5CD47124D4AE68FEF17556_41</vt:lpwstr>
  </property>
</Properties>
</file>