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宋体" w:eastAsia="黑体"/>
          <w:sz w:val="44"/>
          <w:szCs w:val="44"/>
        </w:rPr>
      </w:pPr>
      <w:r>
        <w:rPr>
          <w:rFonts w:ascii="宋体" w:eastAsia="黑体"/>
          <w:b w:val="0"/>
          <w:sz w:val="44"/>
          <w:szCs w:val="44"/>
        </w:rPr>
        <w:t>新疆国际博览事务局</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44"/>
          <w:szCs w:val="44"/>
        </w:rPr>
      </w:pPr>
      <w:r>
        <w:rPr>
          <w:rFonts w:ascii="黑体" w:eastAsia="黑体"/>
          <w:b w:val="0"/>
          <w:sz w:val="44"/>
          <w:szCs w:val="44"/>
        </w:rPr>
        <w:t>2024年度部门决算公开说明</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ascii="黑体" w:eastAsia="黑体"/>
          <w:sz w:val="32"/>
          <w:szCs w:val="32"/>
        </w:rPr>
      </w:pPr>
      <w:r>
        <w:rPr>
          <w:rFonts w:ascii="黑体" w:eastAsia="黑体"/>
          <w:b/>
          <w:sz w:val="32"/>
          <w:szCs w:val="32"/>
        </w:rPr>
        <w:t>目</w:t>
      </w:r>
      <w:r>
        <w:rPr>
          <w:rFonts w:hint="eastAsia" w:ascii="黑体" w:eastAsia="黑体"/>
          <w:b/>
          <w:sz w:val="32"/>
          <w:szCs w:val="32"/>
          <w:lang w:val="en-US" w:eastAsia="zh-CN"/>
        </w:rPr>
        <w:t xml:space="preserve">   </w:t>
      </w:r>
      <w:r>
        <w:rPr>
          <w:rFonts w:ascii="黑体" w:eastAsia="黑体"/>
          <w:b/>
          <w:sz w:val="32"/>
          <w:szCs w:val="32"/>
        </w:rPr>
        <w:t>录</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第一部分单位概况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九、《财政拨款“三公”经费支出决算表》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新疆国际博览事务局2011年4月成立，为中国—亚欧博览会常设工作机构，对外称中国—亚欧博览会秘书处，实行一个机构，两块牌子。全额拨款事业单位。其主要职责：（1）负责中国—亚欧博览会的总体策划和重大活动的组织实施。（2）统筹协调和组织实施中国—亚欧博览会展览组织管理工作，包括境内外招商招展，以及展会的展区规划、现场管理与服务工作。（3）联络中国—亚欧博览会各主办方，协调落实相关工作，协调邀请重要来宾。（4）负责中国—亚欧博览会整体形象设计和宣传推介工作，建设、管理和维护中国—亚欧博览会网站。（5）根据中国—亚欧博览会的部署，统筹协调、督促落实各项服务和保障工作。（6）负责中国—亚欧博览会的经费预算及相关的收支核算。（7）研究新疆会展产业发展战略，制定规划，指导新疆会展业科学发展，收集管理展会和客户资源信息，培育会展人才队伍。（8）主办和承办其他各种博览会、展览会、高层论坛和国际性会议。（9）负责管理新疆国际博览事务局会展服务中心，研究推动并组织实施中国—亚欧博览会市场化运作工作。（10）承办中国—亚欧博览会组委会、商务部和自治区人民政府交办的其他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新疆国际博览事务局2024年度，实有人数35人，其中：在职人员30人，较上年无变化；离休人员0人，较上年无变化；退休人员5人，增加2人。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新疆国际博览事务局无下属预算单位，下设6个处室，分别是：综合部、策划发展部、宣传文化部、招商招展部、对外联络部和展览事务部。</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2024年度收入总计6,028.52万元，其中：本年收入合计5,967.73万元，使用非财政拨款结余（含专用结余）0.00万元，年初结转和结余60.79万元。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2024年度支出总计6,028.52万元，其中：本年支出合计5,966.73万元，结余分配0.00万元，年末结转和结余61.79万元。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color w:val="0000FF"/>
          <w:sz w:val="32"/>
          <w:szCs w:val="32"/>
        </w:rPr>
      </w:pPr>
      <w:r>
        <w:rPr>
          <w:rFonts w:ascii="仿宋_GB2312" w:eastAsia="仿宋_GB2312"/>
          <w:b w:val="0"/>
          <w:sz w:val="32"/>
          <w:szCs w:val="32"/>
        </w:rPr>
        <w:t>收入支出总体与上年相比，增加3,103.56万元，增长106.11%，主要原因是：2024年第八届中国—亚欧博览会项目资金投入规模大于2023年（中国）亚欧商品贸易博览会资金规模。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color w:val="auto"/>
          <w:sz w:val="32"/>
          <w:szCs w:val="32"/>
        </w:rPr>
      </w:pPr>
      <w:r>
        <w:rPr>
          <w:rFonts w:ascii="仿宋_GB2312" w:eastAsia="仿宋_GB2312"/>
          <w:b w:val="0"/>
          <w:color w:val="auto"/>
          <w:sz w:val="32"/>
          <w:szCs w:val="32"/>
        </w:rPr>
        <w:t>本年收入5,967.73万元，其中：财政拨款收入5,928.67万元,占99.35%；上级补助收入0.00万元,占0.00%；事业收入0.00万元，占0.00%；经营收入0.00万元,占0.00%；附属单位上缴收入0.00万元，占0.00%；其他收入39.0</w:t>
      </w:r>
      <w:r>
        <w:rPr>
          <w:rFonts w:hint="eastAsia" w:ascii="仿宋_GB2312" w:eastAsia="仿宋_GB2312"/>
          <w:b w:val="0"/>
          <w:color w:val="auto"/>
          <w:sz w:val="32"/>
          <w:szCs w:val="32"/>
          <w:lang w:val="en-US" w:eastAsia="zh-CN"/>
        </w:rPr>
        <w:t>7</w:t>
      </w:r>
      <w:r>
        <w:rPr>
          <w:rFonts w:ascii="仿宋_GB2312" w:eastAsia="仿宋_GB2312"/>
          <w:b w:val="0"/>
          <w:color w:val="auto"/>
          <w:sz w:val="32"/>
          <w:szCs w:val="32"/>
        </w:rPr>
        <w:t>万元，占0.65%。</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本年支出5,966.73万元，其中：基本支出770.07万元，占12.91%；项目支出5,196.6</w:t>
      </w:r>
      <w:r>
        <w:rPr>
          <w:rFonts w:hint="eastAsia" w:ascii="仿宋_GB2312" w:eastAsia="仿宋_GB2312"/>
          <w:b w:val="0"/>
          <w:sz w:val="32"/>
          <w:szCs w:val="32"/>
          <w:lang w:val="en-US" w:eastAsia="zh-CN"/>
        </w:rPr>
        <w:t>5</w:t>
      </w:r>
      <w:r>
        <w:rPr>
          <w:rFonts w:ascii="仿宋_GB2312" w:eastAsia="仿宋_GB2312"/>
          <w:b w:val="0"/>
          <w:sz w:val="32"/>
          <w:szCs w:val="32"/>
        </w:rPr>
        <w:t>万元，占87.09%；上缴上级支出0.00万元，占0.00%；经营支出0.00万元，占0.00%；对附属单位补助支出0.00万元，占0.00%。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收入总计5,989.12万元，其中：年初财政拨款结转和结余60.45万元，本年财政拨款收入5,928.67万元。财政拨款支出总计5,989.12万元，其中：年末财政拨款结转和结余22.39万元，本年财政拨款支出5,966.73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财政拨款收入支出总体与上年相比，增加3,064.51万元，增长104.78%，主要原因是：2024年第八届中国—亚欧博览会项目资金投入规模大于2023年（中国）亚欧商品贸易博览会资金规模。与年初预算相比，年初预算数666.05万元，决算数5,989.12万元，预决算差异率799.20%，主要原因是：</w:t>
      </w:r>
      <w:r>
        <w:rPr>
          <w:rFonts w:hint="eastAsia" w:ascii="仿宋_GB2312" w:eastAsia="仿宋_GB2312"/>
          <w:b w:val="0"/>
          <w:sz w:val="32"/>
          <w:szCs w:val="32"/>
          <w:lang w:eastAsia="zh-CN"/>
        </w:rPr>
        <w:t>年中</w:t>
      </w:r>
      <w:r>
        <w:rPr>
          <w:rFonts w:ascii="仿宋_GB2312" w:eastAsia="仿宋_GB2312"/>
          <w:b w:val="0"/>
          <w:sz w:val="32"/>
          <w:szCs w:val="32"/>
        </w:rPr>
        <w:t>追加2024年第八届中国—亚欧博览会会议财政补助项目和纺织服装补贴项目。</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支出5,966.73万元，占本年支出合计的100.00%。与上年相比，增加3,042.12万元，增长104.02%，主要原因是：2024年第八届中国—亚欧博览会项目资金投入规模大于2023年（中国）亚欧商品贸易博览会资金规模。与年初预算相比，年初预算数666.05万元，决算数5,966.73万元，预决算差异率795.84%，主要原因是：</w:t>
      </w:r>
      <w:r>
        <w:rPr>
          <w:rFonts w:hint="eastAsia" w:ascii="仿宋_GB2312" w:eastAsia="仿宋_GB2312"/>
          <w:b w:val="0"/>
          <w:sz w:val="32"/>
          <w:szCs w:val="32"/>
          <w:lang w:eastAsia="zh-CN"/>
        </w:rPr>
        <w:t>年中</w:t>
      </w:r>
      <w:r>
        <w:rPr>
          <w:rFonts w:hint="eastAsia" w:ascii="仿宋_GB2312" w:eastAsia="仿宋_GB2312"/>
          <w:b w:val="0"/>
          <w:sz w:val="32"/>
          <w:szCs w:val="32"/>
          <w:lang w:val="en-US" w:eastAsia="zh-CN"/>
        </w:rPr>
        <w:t>追加</w:t>
      </w:r>
      <w:r>
        <w:rPr>
          <w:rFonts w:ascii="仿宋_GB2312" w:eastAsia="仿宋_GB2312"/>
          <w:b w:val="0"/>
          <w:sz w:val="32"/>
          <w:szCs w:val="32"/>
        </w:rPr>
        <w:t>第八届中国—亚欧博览会项目。</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1.</w:t>
      </w:r>
      <w:r>
        <w:rPr>
          <w:rFonts w:ascii="仿宋_GB2312" w:eastAsia="仿宋_GB2312"/>
          <w:b w:val="0"/>
          <w:sz w:val="32"/>
          <w:szCs w:val="32"/>
        </w:rPr>
        <w:t>一般公共服务支出（类）5,822.93万元，占97.59%。</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2.</w:t>
      </w:r>
      <w:r>
        <w:rPr>
          <w:rFonts w:ascii="仿宋_GB2312" w:eastAsia="仿宋_GB2312"/>
          <w:b w:val="0"/>
          <w:sz w:val="32"/>
          <w:szCs w:val="32"/>
        </w:rPr>
        <w:t>社会保障和就业支出（类）68.01万元，占1.14%。</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3.</w:t>
      </w:r>
      <w:r>
        <w:rPr>
          <w:rFonts w:ascii="仿宋_GB2312" w:eastAsia="仿宋_GB2312"/>
          <w:b w:val="0"/>
          <w:sz w:val="32"/>
          <w:szCs w:val="32"/>
        </w:rPr>
        <w:t>卫生健康支出（类）29.15万元，占0.49%。</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4.</w:t>
      </w:r>
      <w:r>
        <w:rPr>
          <w:rFonts w:ascii="仿宋_GB2312" w:eastAsia="仿宋_GB2312"/>
          <w:b w:val="0"/>
          <w:sz w:val="32"/>
          <w:szCs w:val="32"/>
        </w:rPr>
        <w:t>住房保障支出（类）46.64万元，占0.78%。</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1</w:t>
      </w:r>
      <w:r>
        <w:rPr>
          <w:rFonts w:hint="eastAsia" w:ascii="仿宋_GB2312" w:eastAsia="仿宋_GB2312"/>
          <w:b w:val="0"/>
          <w:sz w:val="32"/>
          <w:szCs w:val="32"/>
          <w:lang w:eastAsia="zh-CN"/>
        </w:rPr>
        <w:t>.</w:t>
      </w:r>
      <w:r>
        <w:rPr>
          <w:rFonts w:ascii="仿宋_GB2312" w:eastAsia="仿宋_GB2312"/>
          <w:b w:val="0"/>
          <w:sz w:val="32"/>
          <w:szCs w:val="32"/>
        </w:rPr>
        <w:t>一般公共服务支出（类）商贸事务（款）事业运行（项）：支出决算数为626.28万元，比上年决算增加55.10万元，增长9.65%，主要原因是：人员职级工资调</w:t>
      </w:r>
      <w:r>
        <w:rPr>
          <w:rFonts w:hint="eastAsia" w:ascii="仿宋_GB2312" w:eastAsia="仿宋_GB2312"/>
          <w:b w:val="0"/>
          <w:sz w:val="32"/>
          <w:szCs w:val="32"/>
          <w:lang w:eastAsia="zh-CN"/>
        </w:rPr>
        <w:t>增</w:t>
      </w:r>
      <w:r>
        <w:rPr>
          <w:rFonts w:ascii="仿宋_GB2312" w:eastAsia="仿宋_GB2312"/>
          <w:b w:val="0"/>
          <w:sz w:val="32"/>
          <w:szCs w:val="32"/>
        </w:rPr>
        <w:t>，社会保险缴费基数提高。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2</w:t>
      </w:r>
      <w:r>
        <w:rPr>
          <w:rFonts w:hint="eastAsia" w:ascii="仿宋_GB2312" w:eastAsia="仿宋_GB2312"/>
          <w:b w:val="0"/>
          <w:sz w:val="32"/>
          <w:szCs w:val="32"/>
          <w:lang w:eastAsia="zh-CN"/>
        </w:rPr>
        <w:t>.</w:t>
      </w:r>
      <w:r>
        <w:rPr>
          <w:rFonts w:ascii="仿宋_GB2312" w:eastAsia="仿宋_GB2312"/>
          <w:b w:val="0"/>
          <w:sz w:val="32"/>
          <w:szCs w:val="32"/>
        </w:rPr>
        <w:t>一般公共服务支出（类）商贸事务（款）其他商贸事务支出（项）：支出决算数为5,196.65万元，比上年决算增加3,032.03万元，增长140.07%，主要原因是：项目投入增加，2024年第八届中国—亚欧博览会项目资金投入规模大于2023年（中国）亚欧商品贸易博览会资金规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3</w:t>
      </w:r>
      <w:r>
        <w:rPr>
          <w:rFonts w:hint="eastAsia" w:ascii="仿宋_GB2312" w:eastAsia="仿宋_GB2312"/>
          <w:b w:val="0"/>
          <w:sz w:val="32"/>
          <w:szCs w:val="32"/>
          <w:lang w:eastAsia="zh-CN"/>
        </w:rPr>
        <w:t>.</w:t>
      </w:r>
      <w:r>
        <w:rPr>
          <w:rFonts w:ascii="仿宋_GB2312" w:eastAsia="仿宋_GB2312"/>
          <w:b w:val="0"/>
          <w:sz w:val="32"/>
          <w:szCs w:val="32"/>
        </w:rPr>
        <w:t>社会保障和就业支出（类）行政事业单位养老支出（款）事业单位离退休（项）：支出决算数为4.85万元，比上年决算增加2.95万元，增长155.26%，主要原因是：</w:t>
      </w:r>
      <w:r>
        <w:rPr>
          <w:rFonts w:hint="eastAsia" w:ascii="仿宋_GB2312" w:eastAsia="仿宋_GB2312"/>
          <w:b w:val="0"/>
          <w:sz w:val="32"/>
          <w:szCs w:val="32"/>
          <w:lang w:val="en-US" w:eastAsia="zh-CN"/>
        </w:rPr>
        <w:t>2024年度</w:t>
      </w:r>
      <w:r>
        <w:rPr>
          <w:rFonts w:ascii="仿宋_GB2312" w:eastAsia="仿宋_GB2312"/>
          <w:b w:val="0"/>
          <w:sz w:val="32"/>
          <w:szCs w:val="32"/>
        </w:rPr>
        <w:t>退休人员增加</w:t>
      </w:r>
      <w:r>
        <w:rPr>
          <w:rFonts w:hint="eastAsia" w:ascii="仿宋_GB2312" w:eastAsia="仿宋_GB2312"/>
          <w:b w:val="0"/>
          <w:sz w:val="32"/>
          <w:szCs w:val="32"/>
          <w:lang w:val="en-US" w:eastAsia="zh-CN"/>
        </w:rPr>
        <w:t>2人</w:t>
      </w:r>
      <w:r>
        <w:rPr>
          <w:rFonts w:ascii="仿宋_GB2312" w:eastAsia="仿宋_GB2312"/>
          <w:b w:val="0"/>
          <w:sz w:val="32"/>
          <w:szCs w:val="32"/>
        </w:rPr>
        <w:t>，事业单位离退休</w:t>
      </w:r>
      <w:r>
        <w:rPr>
          <w:rFonts w:hint="eastAsia" w:ascii="仿宋_GB2312" w:eastAsia="仿宋_GB2312"/>
          <w:b w:val="0"/>
          <w:sz w:val="32"/>
          <w:szCs w:val="32"/>
          <w:lang w:eastAsia="zh-CN"/>
        </w:rPr>
        <w:t>费用增加</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4</w:t>
      </w:r>
      <w:r>
        <w:rPr>
          <w:rFonts w:hint="eastAsia" w:ascii="仿宋_GB2312" w:eastAsia="仿宋_GB2312"/>
          <w:b w:val="0"/>
          <w:sz w:val="32"/>
          <w:szCs w:val="32"/>
          <w:lang w:eastAsia="zh-CN"/>
        </w:rPr>
        <w:t>.</w:t>
      </w:r>
      <w:r>
        <w:rPr>
          <w:rFonts w:ascii="仿宋_GB2312" w:eastAsia="仿宋_GB2312"/>
          <w:b w:val="0"/>
          <w:sz w:val="32"/>
          <w:szCs w:val="32"/>
        </w:rPr>
        <w:t>社会保障和就业支出（类）行政事业单位养老支出（款）机关事业单位基本养老保险缴费支出（项）：支出决算数为62.18万元，比上年决算增加6.64万元，增长11.96%，主要原因是：</w:t>
      </w:r>
      <w:r>
        <w:rPr>
          <w:rFonts w:hint="eastAsia" w:ascii="仿宋_GB2312" w:eastAsia="仿宋_GB2312"/>
          <w:b w:val="0"/>
          <w:sz w:val="32"/>
          <w:szCs w:val="32"/>
          <w:lang w:eastAsia="zh-CN"/>
        </w:rPr>
        <w:t>按照自治区事业单位</w:t>
      </w:r>
      <w:r>
        <w:rPr>
          <w:rFonts w:ascii="仿宋_GB2312" w:eastAsia="仿宋_GB2312"/>
          <w:b w:val="0"/>
          <w:sz w:val="32"/>
          <w:szCs w:val="32"/>
        </w:rPr>
        <w:t>基本养老保险缴费</w:t>
      </w:r>
      <w:r>
        <w:rPr>
          <w:rFonts w:hint="eastAsia" w:ascii="仿宋_GB2312" w:eastAsia="仿宋_GB2312"/>
          <w:b w:val="0"/>
          <w:sz w:val="32"/>
          <w:szCs w:val="32"/>
          <w:lang w:eastAsia="zh-CN"/>
        </w:rPr>
        <w:t>办法，</w:t>
      </w:r>
      <w:r>
        <w:rPr>
          <w:rFonts w:ascii="仿宋_GB2312" w:eastAsia="仿宋_GB2312"/>
          <w:b w:val="0"/>
          <w:sz w:val="32"/>
          <w:szCs w:val="32"/>
        </w:rPr>
        <w:t>人员职级工资调整，基本养老保险基数提高</w:t>
      </w:r>
      <w:r>
        <w:rPr>
          <w:rFonts w:hint="eastAsia" w:ascii="仿宋_GB2312" w:eastAsia="仿宋_GB2312"/>
          <w:b w:val="0"/>
          <w:sz w:val="32"/>
          <w:szCs w:val="32"/>
          <w:lang w:eastAsia="zh-CN"/>
        </w:rPr>
        <w:t>，</w:t>
      </w:r>
      <w:r>
        <w:rPr>
          <w:rFonts w:ascii="仿宋_GB2312" w:eastAsia="仿宋_GB2312"/>
          <w:b w:val="0"/>
          <w:sz w:val="32"/>
          <w:szCs w:val="32"/>
        </w:rPr>
        <w:t>基本养老保险缴费</w:t>
      </w:r>
      <w:r>
        <w:rPr>
          <w:rFonts w:hint="eastAsia" w:ascii="仿宋_GB2312" w:eastAsia="仿宋_GB2312"/>
          <w:b w:val="0"/>
          <w:sz w:val="32"/>
          <w:szCs w:val="32"/>
          <w:lang w:eastAsia="zh-CN"/>
        </w:rPr>
        <w:t>增加</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5</w:t>
      </w:r>
      <w:r>
        <w:rPr>
          <w:rFonts w:hint="eastAsia" w:ascii="仿宋_GB2312" w:eastAsia="仿宋_GB2312"/>
          <w:b w:val="0"/>
          <w:sz w:val="32"/>
          <w:szCs w:val="32"/>
          <w:lang w:eastAsia="zh-CN"/>
        </w:rPr>
        <w:t>.</w:t>
      </w:r>
      <w:r>
        <w:rPr>
          <w:rFonts w:ascii="仿宋_GB2312" w:eastAsia="仿宋_GB2312"/>
          <w:b w:val="0"/>
          <w:sz w:val="32"/>
          <w:szCs w:val="32"/>
        </w:rPr>
        <w:t>社会保障和就业支出（类）行政事业单位养老支出（款）机关事业单位职业年金缴费支出（项）：支出决算数为0.98万元，比上年决算减少38.40万元，下降97.51%，主要原因是：</w:t>
      </w:r>
      <w:r>
        <w:rPr>
          <w:rFonts w:hint="eastAsia" w:ascii="仿宋_GB2312" w:eastAsia="仿宋_GB2312"/>
          <w:b w:val="0"/>
          <w:sz w:val="32"/>
          <w:szCs w:val="32"/>
          <w:lang w:val="en-US" w:eastAsia="zh-CN"/>
        </w:rPr>
        <w:t>2024年未</w:t>
      </w:r>
      <w:r>
        <w:rPr>
          <w:rFonts w:ascii="仿宋_GB2312" w:eastAsia="仿宋_GB2312"/>
          <w:b w:val="0"/>
          <w:sz w:val="32"/>
          <w:szCs w:val="32"/>
        </w:rPr>
        <w:t>补记</w:t>
      </w:r>
      <w:r>
        <w:rPr>
          <w:rFonts w:hint="eastAsia" w:ascii="仿宋_GB2312" w:eastAsia="仿宋_GB2312"/>
          <w:b w:val="0"/>
          <w:sz w:val="32"/>
          <w:szCs w:val="32"/>
          <w:lang w:val="en-US" w:eastAsia="zh-CN"/>
        </w:rPr>
        <w:t>2024年在职转退休人员职业年纪，只补记2023度退休人员部分</w:t>
      </w:r>
      <w:r>
        <w:rPr>
          <w:rFonts w:ascii="仿宋_GB2312" w:eastAsia="仿宋_GB2312"/>
          <w:b w:val="0"/>
          <w:sz w:val="32"/>
          <w:szCs w:val="32"/>
        </w:rPr>
        <w:t>职业年金。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6</w:t>
      </w:r>
      <w:r>
        <w:rPr>
          <w:rFonts w:hint="eastAsia" w:ascii="仿宋_GB2312" w:eastAsia="仿宋_GB2312"/>
          <w:b w:val="0"/>
          <w:sz w:val="32"/>
          <w:szCs w:val="32"/>
          <w:lang w:eastAsia="zh-CN"/>
        </w:rPr>
        <w:t>.</w:t>
      </w:r>
      <w:r>
        <w:rPr>
          <w:rFonts w:ascii="仿宋_GB2312" w:eastAsia="仿宋_GB2312"/>
          <w:b w:val="0"/>
          <w:sz w:val="32"/>
          <w:szCs w:val="32"/>
        </w:rPr>
        <w:t>卫生健康支出（类）行政事业单位医疗（款）事业单位医疗（项）：支出决算数为29.15万元，比上年决算增加3.11万元，增长11.94%，主要原因是：</w:t>
      </w:r>
      <w:r>
        <w:rPr>
          <w:rFonts w:hint="eastAsia" w:ascii="仿宋_GB2312" w:eastAsia="仿宋_GB2312"/>
          <w:b w:val="0"/>
          <w:sz w:val="32"/>
          <w:szCs w:val="32"/>
          <w:lang w:eastAsia="zh-CN"/>
        </w:rPr>
        <w:t>按照自治区事业单位医疗</w:t>
      </w:r>
      <w:r>
        <w:rPr>
          <w:rFonts w:ascii="仿宋_GB2312" w:eastAsia="仿宋_GB2312"/>
          <w:b w:val="0"/>
          <w:sz w:val="32"/>
          <w:szCs w:val="32"/>
        </w:rPr>
        <w:t>缴费</w:t>
      </w:r>
      <w:r>
        <w:rPr>
          <w:rFonts w:hint="eastAsia" w:ascii="仿宋_GB2312" w:eastAsia="仿宋_GB2312"/>
          <w:b w:val="0"/>
          <w:sz w:val="32"/>
          <w:szCs w:val="32"/>
          <w:lang w:eastAsia="zh-CN"/>
        </w:rPr>
        <w:t>办法，</w:t>
      </w:r>
      <w:r>
        <w:rPr>
          <w:rFonts w:ascii="仿宋_GB2312" w:eastAsia="仿宋_GB2312"/>
          <w:b w:val="0"/>
          <w:sz w:val="32"/>
          <w:szCs w:val="32"/>
        </w:rPr>
        <w:t>人员职级工资调整，缴费基数提高</w:t>
      </w:r>
      <w:r>
        <w:rPr>
          <w:rFonts w:hint="eastAsia" w:ascii="仿宋_GB2312" w:eastAsia="仿宋_GB2312"/>
          <w:b w:val="0"/>
          <w:sz w:val="32"/>
          <w:szCs w:val="32"/>
          <w:lang w:eastAsia="zh-CN"/>
        </w:rPr>
        <w:t>，</w:t>
      </w:r>
      <w:r>
        <w:rPr>
          <w:rFonts w:ascii="仿宋_GB2312" w:eastAsia="仿宋_GB2312"/>
          <w:b w:val="0"/>
          <w:sz w:val="32"/>
          <w:szCs w:val="32"/>
        </w:rPr>
        <w:t>事业单位医疗</w:t>
      </w:r>
      <w:r>
        <w:rPr>
          <w:rFonts w:hint="eastAsia" w:ascii="仿宋_GB2312" w:eastAsia="仿宋_GB2312"/>
          <w:b w:val="0"/>
          <w:sz w:val="32"/>
          <w:szCs w:val="32"/>
          <w:lang w:eastAsia="zh-CN"/>
        </w:rPr>
        <w:t>增加</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7</w:t>
      </w:r>
      <w:r>
        <w:rPr>
          <w:rFonts w:hint="eastAsia" w:ascii="仿宋_GB2312" w:eastAsia="仿宋_GB2312"/>
          <w:b w:val="0"/>
          <w:sz w:val="32"/>
          <w:szCs w:val="32"/>
          <w:lang w:eastAsia="zh-CN"/>
        </w:rPr>
        <w:t>.</w:t>
      </w:r>
      <w:r>
        <w:rPr>
          <w:rFonts w:ascii="仿宋_GB2312" w:eastAsia="仿宋_GB2312"/>
          <w:b w:val="0"/>
          <w:sz w:val="32"/>
          <w:szCs w:val="32"/>
        </w:rPr>
        <w:t>卫生健康支出（类）行政事业单位医疗（款）公务员医疗补助（项）：支出决算数为0.00万元，比上年决算减少24.30万元，下降100.00%，主要原因是：预算调剂将公务员医疗补助调整至事业运行。</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8</w:t>
      </w:r>
      <w:r>
        <w:rPr>
          <w:rFonts w:hint="eastAsia" w:ascii="仿宋_GB2312" w:eastAsia="仿宋_GB2312"/>
          <w:b w:val="0"/>
          <w:sz w:val="32"/>
          <w:szCs w:val="32"/>
          <w:lang w:eastAsia="zh-CN"/>
        </w:rPr>
        <w:t>.</w:t>
      </w:r>
      <w:r>
        <w:rPr>
          <w:rFonts w:ascii="仿宋_GB2312" w:eastAsia="仿宋_GB2312"/>
          <w:b w:val="0"/>
          <w:sz w:val="32"/>
          <w:szCs w:val="32"/>
        </w:rPr>
        <w:t>住房保障支出（类）住房改革支出（款）住房公积金（项）：支出决算数为46.64万元，比上年决算增加4.98万元，增长11.95%，主要原因是：</w:t>
      </w:r>
      <w:r>
        <w:rPr>
          <w:rFonts w:hint="eastAsia" w:ascii="仿宋_GB2312" w:eastAsia="仿宋_GB2312"/>
          <w:b w:val="0"/>
          <w:sz w:val="32"/>
          <w:szCs w:val="32"/>
          <w:lang w:eastAsia="zh-CN"/>
        </w:rPr>
        <w:t>按照自治区机关事业</w:t>
      </w:r>
      <w:r>
        <w:rPr>
          <w:rFonts w:ascii="仿宋_GB2312" w:eastAsia="仿宋_GB2312"/>
          <w:b w:val="0"/>
          <w:sz w:val="32"/>
          <w:szCs w:val="32"/>
        </w:rPr>
        <w:t>住房公积金</w:t>
      </w:r>
      <w:r>
        <w:rPr>
          <w:rFonts w:hint="eastAsia" w:ascii="仿宋_GB2312" w:eastAsia="仿宋_GB2312"/>
          <w:b w:val="0"/>
          <w:sz w:val="32"/>
          <w:szCs w:val="32"/>
          <w:lang w:eastAsia="zh-CN"/>
        </w:rPr>
        <w:t>缴费办法，单位</w:t>
      </w:r>
      <w:r>
        <w:rPr>
          <w:rFonts w:ascii="仿宋_GB2312" w:eastAsia="仿宋_GB2312"/>
          <w:b w:val="0"/>
          <w:sz w:val="32"/>
          <w:szCs w:val="32"/>
        </w:rPr>
        <w:t>人员职级工资调整，缴费基数提高</w:t>
      </w:r>
      <w:r>
        <w:rPr>
          <w:rFonts w:hint="eastAsia" w:ascii="仿宋_GB2312" w:eastAsia="仿宋_GB2312"/>
          <w:b w:val="0"/>
          <w:sz w:val="32"/>
          <w:szCs w:val="32"/>
          <w:lang w:eastAsia="zh-CN"/>
        </w:rPr>
        <w:t>，住房公积金支出增加</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基本支出770.07万元，其中：人员经费689.02万元，包括：基本工资、津贴补贴、奖金、绩效工资、机关事业单位基本养老保险缴费、职业年金缴费、职工基本医疗保险缴费、公务员医疗补助缴费、其他社会保障缴费、住房公积金、其他工资福利支出和退休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公用经费81.0</w:t>
      </w:r>
      <w:r>
        <w:rPr>
          <w:rFonts w:hint="eastAsia" w:ascii="仿宋_GB2312" w:eastAsia="仿宋_GB2312"/>
          <w:b w:val="0"/>
          <w:sz w:val="32"/>
          <w:szCs w:val="32"/>
          <w:lang w:val="en-US" w:eastAsia="zh-CN"/>
        </w:rPr>
        <w:t>6</w:t>
      </w:r>
      <w:r>
        <w:rPr>
          <w:rFonts w:ascii="仿宋_GB2312" w:eastAsia="仿宋_GB2312"/>
          <w:b w:val="0"/>
          <w:sz w:val="32"/>
          <w:szCs w:val="32"/>
        </w:rPr>
        <w:t>万元，包括：办公费、水费、电费、邮电费、物业管理费、差旅费、维修（护）费、劳务费、委托业务费、工会经费、福利费、公务用车运行维护费和其他交通费用。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本单位本年度无政府性基金预算财政拨款收入、支出及结转和结余，政府性基金预算财政拨款收入支出决算表为空表。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本单位本年度无国有资本经营预算财政拨款收入、支出及结转和结余，国有资本经营预算财政拨款收入支出决算表为空表。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仿宋_GB2312" w:eastAsia="仿宋_GB2312"/>
          <w:b w:val="0"/>
          <w:sz w:val="32"/>
          <w:szCs w:val="32"/>
          <w:lang w:val="en-US" w:eastAsia="zh-CN"/>
        </w:rPr>
      </w:pPr>
      <w:r>
        <w:rPr>
          <w:rFonts w:ascii="仿宋_GB2312" w:eastAsia="仿宋_GB2312"/>
          <w:b w:val="0"/>
          <w:sz w:val="32"/>
          <w:szCs w:val="32"/>
        </w:rPr>
        <w:t>2024年度财政拨款“三公”经费支出4.20万元，比上年减少11.89万元，下降73.90%，主要原因是：</w:t>
      </w:r>
      <w:r>
        <w:rPr>
          <w:rFonts w:hint="eastAsia" w:ascii="仿宋_GB2312" w:eastAsia="仿宋_GB2312"/>
          <w:b w:val="0"/>
          <w:sz w:val="32"/>
          <w:szCs w:val="32"/>
          <w:lang w:val="en-US" w:eastAsia="zh-CN"/>
        </w:rPr>
        <w:t>根据自治区政府工作安排，2023年度追加</w:t>
      </w:r>
      <w:r>
        <w:rPr>
          <w:rFonts w:ascii="仿宋_GB2312" w:eastAsia="仿宋_GB2312"/>
          <w:b w:val="0"/>
          <w:sz w:val="32"/>
          <w:szCs w:val="32"/>
        </w:rPr>
        <w:t>因公出国（境）任务</w:t>
      </w:r>
      <w:r>
        <w:rPr>
          <w:rFonts w:hint="eastAsia" w:ascii="仿宋_GB2312" w:eastAsia="仿宋_GB2312"/>
          <w:b w:val="0"/>
          <w:sz w:val="32"/>
          <w:szCs w:val="32"/>
          <w:lang w:val="en-US" w:eastAsia="zh-CN"/>
        </w:rPr>
        <w:t>经费12.70万元</w:t>
      </w:r>
      <w:r>
        <w:rPr>
          <w:rFonts w:hint="eastAsia" w:ascii="仿宋_GB2312" w:eastAsia="仿宋_GB2312"/>
          <w:b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both"/>
        <w:textAlignment w:val="auto"/>
        <w:rPr>
          <w:rFonts w:ascii="仿宋_GB2312" w:eastAsia="仿宋_GB2312"/>
          <w:sz w:val="32"/>
          <w:szCs w:val="32"/>
        </w:rPr>
      </w:pPr>
      <w:r>
        <w:rPr>
          <w:rFonts w:hint="eastAsia" w:ascii="仿宋_GB2312" w:eastAsia="仿宋_GB2312"/>
          <w:b w:val="0"/>
          <w:sz w:val="32"/>
          <w:szCs w:val="32"/>
          <w:lang w:val="en-US" w:eastAsia="zh-CN"/>
        </w:rPr>
        <w:t>2024年度未</w:t>
      </w:r>
      <w:r>
        <w:rPr>
          <w:rFonts w:ascii="仿宋_GB2312" w:eastAsia="仿宋_GB2312"/>
          <w:b w:val="0"/>
          <w:sz w:val="32"/>
          <w:szCs w:val="32"/>
        </w:rPr>
        <w:t>安排因公出国（境）任务。其中：因公出国（境）费支出0.00万元,占0.00%，比上年减少12.70万元，下降100%，主要原因是：本年度没有安排因公出国（境）任务；公务用车购置及运行维护费支出4.20万元，占100.00%，比上年增加0.81万元，增长23.89%，主要原因是：</w:t>
      </w:r>
      <w:r>
        <w:rPr>
          <w:rFonts w:hint="eastAsia" w:ascii="仿宋_GB2312" w:eastAsia="仿宋_GB2312"/>
          <w:b w:val="0"/>
          <w:sz w:val="32"/>
          <w:szCs w:val="32"/>
          <w:lang w:val="en-US" w:eastAsia="zh-CN"/>
        </w:rPr>
        <w:t>公务用车老化，公务用车维修成本费用增加</w:t>
      </w:r>
      <w:r>
        <w:rPr>
          <w:rFonts w:ascii="仿宋_GB2312" w:eastAsia="仿宋_GB2312"/>
          <w:b w:val="0"/>
          <w:sz w:val="32"/>
          <w:szCs w:val="32"/>
        </w:rPr>
        <w:t>；公务接待费支出0.00万元，占0.00%，与上年相比无变化，主要原因是：本年度没有安排公务接待。</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rPr>
          <w:rFonts w:ascii="仿宋_GB2312" w:eastAsia="仿宋_GB2312"/>
          <w:sz w:val="32"/>
          <w:szCs w:val="32"/>
        </w:rPr>
      </w:pPr>
      <w:r>
        <w:rPr>
          <w:rFonts w:ascii="仿宋_GB2312"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因公出国（境）费支出0.00万元，开支内容包括差旅费、住宿费。单位全年安排的因公出国（境）团组0个，因公出国（境）0人次。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务用车购置及运行维护费4.20万元，其中：公务用车购置费0.00万元，公务用车运行维护费4.20万元。公务用车运行维护费开支内容包括燃油费、维修费、保险费、过路过桥费及停车费。公务用车购置数0辆，公务用车保有量8辆。国有资产占用情况中固定资产车辆8辆，与公务用车保有量差异原因是：</w:t>
      </w:r>
      <w:r>
        <w:rPr>
          <w:rFonts w:hint="eastAsia" w:ascii="仿宋_GB2312" w:eastAsia="仿宋_GB2312"/>
          <w:b w:val="0"/>
          <w:sz w:val="32"/>
          <w:szCs w:val="32"/>
          <w:lang w:eastAsia="zh-CN"/>
        </w:rPr>
        <w:t>无差异</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公务接待费0.00万元，开支内容包括住宿费、伙食费、交通费。单位全年安排的国内公务接待0批次，0人次。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b w:val="0"/>
          <w:sz w:val="32"/>
          <w:szCs w:val="32"/>
        </w:rPr>
      </w:pPr>
      <w:r>
        <w:rPr>
          <w:rFonts w:ascii="仿宋_GB2312" w:eastAsia="仿宋_GB2312"/>
          <w:b w:val="0"/>
          <w:sz w:val="32"/>
          <w:szCs w:val="32"/>
        </w:rPr>
        <w:t>与全年预算相比，财政拨款“三公”经费支出全年预算数4.20万元，决算数4.20万元，预决算差异率0.00%，主要原因是：三公经费决算严格按照年初预算执行。其中：因公出国（境）费全年预算数0.00万元，决算数0.00万元，预决算差异率0.00%，主要原因是：本年度没有安排因公出国（境）任务；公务用车购置费全年预算数0.00万元，决算数0.00万元，预决算差异率0.00%，主要原因是：本年度没有安排额外购置车辆；公务用车运行维护费全年预算数4.20万元，决算数4.20万元，预决算差异率0.00%，主要原因是：公务用车预算严格按照年初预算执行；公务接待费全年预算数0.00万元，决算数0.00万元，预决算差异率0.00%，主要原因是：本年度没有安排公务接待。</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b w:val="0"/>
          <w:bCs w:val="0"/>
          <w:color w:val="auto"/>
          <w:sz w:val="32"/>
          <w:szCs w:val="32"/>
        </w:rPr>
      </w:pPr>
      <w:r>
        <w:rPr>
          <w:rFonts w:ascii="仿宋_GB2312" w:eastAsia="仿宋_GB2312"/>
          <w:b w:val="0"/>
          <w:bCs w:val="0"/>
          <w:color w:val="auto"/>
          <w:sz w:val="32"/>
          <w:szCs w:val="32"/>
        </w:rPr>
        <w:t>2024年度新疆国际博览事务局单位（事业单位）公用经费支出81.06万元，比上年减少26.49万元，下降24.63%，主要原因是：</w:t>
      </w:r>
      <w:r>
        <w:rPr>
          <w:rFonts w:hint="eastAsia" w:ascii="仿宋_GB2312" w:eastAsia="仿宋_GB2312"/>
          <w:b w:val="0"/>
          <w:bCs w:val="0"/>
          <w:color w:val="auto"/>
          <w:sz w:val="32"/>
          <w:szCs w:val="32"/>
          <w:lang w:val="en-US" w:eastAsia="zh-CN"/>
        </w:rPr>
        <w:t>2023年度核销往来款确认支出大于</w:t>
      </w:r>
      <w:r>
        <w:rPr>
          <w:rFonts w:ascii="仿宋_GB2312" w:eastAsia="仿宋_GB2312"/>
          <w:b w:val="0"/>
          <w:bCs w:val="0"/>
          <w:color w:val="auto"/>
          <w:sz w:val="32"/>
          <w:szCs w:val="32"/>
        </w:rPr>
        <w:t>2024</w:t>
      </w:r>
      <w:r>
        <w:rPr>
          <w:rFonts w:hint="eastAsia" w:ascii="仿宋_GB2312" w:eastAsia="仿宋_GB2312"/>
          <w:b w:val="0"/>
          <w:bCs w:val="0"/>
          <w:color w:val="auto"/>
          <w:sz w:val="32"/>
          <w:szCs w:val="32"/>
          <w:lang w:val="en-US" w:eastAsia="zh-CN"/>
        </w:rPr>
        <w:t>年度。</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2024年度政府采购支出总额2,571.25万元，其中：政府采购货物支出0.00万元、政府采购工程支出0.00万元、政府采购服务支出2,571.25万元。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授予中小企业合同金额2,571.25万元，占政府采购支出总额的100.00%，其中：授予小微企业合同金额2,571.25万元，占政府采购支出总额的100.00%。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截至2024年12月31日，房屋3,795.44平方米，价值1,954.67万元。车辆8辆，价值279.25万元，其中：副部（省）级及以上领导用车0辆、主要负责人用车0辆、机要通信用车0辆、应急保障用车0辆、执法执勤用车0辆、特种专业技术用车0辆、离退休干部服务用车0辆、其他用车8辆，其他用车主要是：公务用车;单价100万元（含）以上设备（不含车辆）1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根据预算绩效管理要求，本单位2024年度预算绩效管理形成整体支出绩效自评表</w:t>
      </w:r>
      <w:r>
        <w:rPr>
          <w:rFonts w:hint="eastAsia" w:ascii="仿宋_GB2312" w:eastAsia="仿宋_GB2312"/>
          <w:b w:val="0"/>
          <w:sz w:val="32"/>
          <w:szCs w:val="32"/>
          <w:lang w:val="en-US" w:eastAsia="zh-CN"/>
        </w:rPr>
        <w:t>2</w:t>
      </w:r>
      <w:r>
        <w:rPr>
          <w:rFonts w:ascii="仿宋_GB2312" w:eastAsia="仿宋_GB2312"/>
          <w:b w:val="0"/>
          <w:sz w:val="32"/>
          <w:szCs w:val="32"/>
        </w:rPr>
        <w:t>个，全年预算总额5,1</w:t>
      </w:r>
      <w:r>
        <w:rPr>
          <w:rFonts w:hint="eastAsia" w:ascii="仿宋_GB2312" w:eastAsia="仿宋_GB2312"/>
          <w:b w:val="0"/>
          <w:sz w:val="32"/>
          <w:szCs w:val="32"/>
          <w:lang w:val="en-US" w:eastAsia="zh-CN"/>
        </w:rPr>
        <w:t>88.8</w:t>
      </w:r>
      <w:r>
        <w:rPr>
          <w:rFonts w:ascii="仿宋_GB2312" w:eastAsia="仿宋_GB2312"/>
          <w:b w:val="0"/>
          <w:sz w:val="32"/>
          <w:szCs w:val="32"/>
        </w:rPr>
        <w:t>万元，实际执行总额</w:t>
      </w:r>
      <w:r>
        <w:rPr>
          <w:rFonts w:hint="eastAsia" w:ascii="仿宋_GB2312" w:eastAsia="仿宋_GB2312"/>
          <w:b w:val="0"/>
          <w:sz w:val="32"/>
          <w:szCs w:val="32"/>
          <w:lang w:val="en-US" w:eastAsia="zh-CN"/>
        </w:rPr>
        <w:t>5213.11</w:t>
      </w:r>
      <w:r>
        <w:rPr>
          <w:rFonts w:ascii="仿宋_GB2312" w:eastAsia="仿宋_GB2312"/>
          <w:b w:val="0"/>
          <w:sz w:val="32"/>
          <w:szCs w:val="32"/>
        </w:rPr>
        <w:t>万元。预算绩效管理取得的成效：一是提升中国—亚欧博览会作为我国与亚欧地区国家开</w:t>
      </w:r>
      <w:bookmarkStart w:id="0" w:name="_GoBack"/>
      <w:bookmarkEnd w:id="0"/>
      <w:r>
        <w:rPr>
          <w:rFonts w:ascii="仿宋_GB2312" w:eastAsia="仿宋_GB2312"/>
          <w:b w:val="0"/>
          <w:sz w:val="32"/>
          <w:szCs w:val="32"/>
        </w:rPr>
        <w:t>展多领域交流合作的重要渠道、助推“一带一路”核心区建设的重要平台作用，促进与亚欧地区周边国家互利合作、共同发展。二是立足新疆打造亚欧黄金通道和我国向西开放桥头堡的战略定位，聚焦构建新疆“八大产业集群”建设，积极服务中国（新疆）自由贸易试验区建设，加大招商引资力度，推动项目成果落地，助推自治区高质量发展、扩大高水平开放。三是发挥中国—亚欧博览会对外传播平台作用，丰富中国—亚欧博览会人文交流载体和内容，讲好新时代新疆故事，展示新时代新疆开放自信、和谐发展的良好形象。发现的问题及原因：项目资金预算批复时间紧及博览会总体工作方案不断调整，项目实施过程中不确定因素增加，给项目实施带来带来一定困难，项目实施评价结果与预期目标存在一定偏差。下一步改进措施：进一步加强单位提高预算支出绩效管理意识，科学编制项目预算，提高项目预算编制的精细化水平基础上，针对项目实施具备条件考虑项目实施过程中存在实际情况改变等客观因素。财政部门应提前下达财政专项资金预算，指导监督预算单位资金预算编制、为合理科学设立标准化绩效目标提供一定技术支持。具体附部门整体支出绩效自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1"/>
        <w:rPr>
          <w:rFonts w:ascii="黑体" w:eastAsia="黑体"/>
          <w:sz w:val="32"/>
          <w:szCs w:val="32"/>
        </w:rPr>
      </w:pPr>
      <w:r>
        <w:rPr>
          <w:rFonts w:ascii="黑体" w:eastAsia="黑体"/>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本单位无其他需说明事项。</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sectPr>
          <w:footerReference r:id="rId5" w:type="default"/>
          <w:pgSz w:w="12240" w:h="15840"/>
          <w:pgMar w:top="1440" w:right="1800" w:bottom="1440" w:left="1800" w:header="720" w:footer="720" w:gutter="0"/>
          <w:cols w:space="720" w:num="1"/>
        </w:sectPr>
      </w:pPr>
    </w:p>
    <w:tbl>
      <w:tblPr>
        <w:tblStyle w:val="7"/>
        <w:tblW w:w="14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51"/>
        <w:gridCol w:w="534"/>
        <w:gridCol w:w="140"/>
        <w:gridCol w:w="643"/>
        <w:gridCol w:w="330"/>
        <w:gridCol w:w="890"/>
        <w:gridCol w:w="265"/>
        <w:gridCol w:w="629"/>
        <w:gridCol w:w="346"/>
        <w:gridCol w:w="569"/>
        <w:gridCol w:w="466"/>
        <w:gridCol w:w="509"/>
        <w:gridCol w:w="196"/>
        <w:gridCol w:w="839"/>
        <w:gridCol w:w="346"/>
        <w:gridCol w:w="89"/>
        <w:gridCol w:w="946"/>
        <w:gridCol w:w="74"/>
        <w:gridCol w:w="990"/>
        <w:gridCol w:w="16"/>
        <w:gridCol w:w="1079"/>
        <w:gridCol w:w="61"/>
        <w:gridCol w:w="1034"/>
        <w:gridCol w:w="766"/>
        <w:gridCol w:w="1200"/>
        <w:gridCol w:w="1152"/>
        <w:gridCol w:w="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dxa"/>
          <w:trHeight w:val="405" w:hRule="atLeast"/>
        </w:trPr>
        <w:tc>
          <w:tcPr>
            <w:tcW w:w="14925" w:type="dxa"/>
            <w:gridSpan w:val="2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1492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14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43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第八届中国—亚欧博览会经费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14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46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自治区商务厅</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73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新疆国际博览事务局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149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149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5100.00</w:t>
            </w:r>
          </w:p>
        </w:tc>
        <w:tc>
          <w:tcPr>
            <w:tcW w:w="1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5100.00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5154.34</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101.07%</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149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其中：当年财政拨款</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5100.00</w:t>
            </w:r>
          </w:p>
        </w:tc>
        <w:tc>
          <w:tcPr>
            <w:tcW w:w="1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5100.00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5099.38</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149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其他资金</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54.96</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3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878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495"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（一）发挥博览会平台作用，促进与亚欧地区周边国家互利合作、共同发展。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立足新疆打造亚欧黄金通道和我国向西开放桥头堡的战略定位，聚焦构建新疆“八大产业集群”建设，积极服务中国（新疆）自由贸易试验区建设，加大招商引资力度，推动项目成果落地，助推自治区高质量发展、扩大高水平开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（三）发挥中国—亚欧博览会对外传播平台作用，丰富中国—亚欧博览会人文交流载体和内容，讲好新时代新疆故事，展示新时代新疆开放自信、和谐发展的良好形象。</w:t>
            </w:r>
          </w:p>
        </w:tc>
        <w:tc>
          <w:tcPr>
            <w:tcW w:w="878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党中央、国务院的亲切关怀和正确领导下，在各主办单位和兄弟省市的大力支持和共同参与下，自2011年起，中国—亚欧博览会已成功举办七届。习近平总书记向第七届中国—亚欧博览会致贺信，充分体现了党中央对新疆的高度重视和亲切关怀，明确了中国—亚欧博览会新的战略定位、历史使命和目标要求，是对中国—亚欧博览会最大的鼓舞、最有力的支持、最重要的指导。为了进一步落实全国清理和规范庆典研讨会论坛活动工作领导小组工作要求，以及自治区党委常委（扩大）会议部署，第八届中国-亚欧博览会总体工作方案参考前七届中国-亚欧博览会模式，根据自治区人民政府通过的《第八届中国-亚欧博览会总体工作方案》，编制了《第八届中国-亚欧博览会会议专项经费预算方案》。该预算方案依据往届惯例并参照国内其他重大展会办会模式，重要活动、嘉宾接待、招商招展（境内外）、有关国家国家馆展区搭建、贸促活动、场馆租赁、证件制作、展会宣传、线上平台、服务保障（志愿者、办公保障）等相关经费申请财政资金补助。根据第八届中国-亚欧博览会总体工作方案测算，经费总预算7975万元，其中财政补助5100万元，主要用于重要活动经费264万元、接待保障870万元、招商招展推介经费79万元、展会期间贸促活动202万元，新疆国际会展中心场馆租赁费1000万元，国内展区主场搭建及配套经费665万元，国际展区主场搭建经费及配套经费514万元，证件经费200万元，宣传和推介经费435万元，线上平台经费408万元，志愿者服务198万元，服务保障配套经费165万元。其他支出通过市场化运作方式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270" w:hRule="atLeast"/>
        </w:trPr>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目标值</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业绩值</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完成率</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指标值设定依据</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上年完成情况</w:t>
            </w:r>
          </w:p>
        </w:tc>
        <w:tc>
          <w:tcPr>
            <w:tcW w:w="1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赋分规则</w:t>
            </w:r>
          </w:p>
        </w:tc>
        <w:tc>
          <w:tcPr>
            <w:tcW w:w="1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c>
          <w:tcPr>
            <w:tcW w:w="3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27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640" w:hRule="atLeast"/>
        </w:trPr>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年度绩效指标完成情况</w:t>
            </w:r>
          </w:p>
        </w:tc>
        <w:tc>
          <w:tcPr>
            <w:tcW w:w="6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开幕式</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=1场</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70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境内招商招展及贸促活动场次</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&gt;=45场</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95.56</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偏差主要原因是原计划举办45场贸促活动，实际执行过程中因时间紧凑，活动合并，减少2场.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66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境外招商招展及贸促活动场次</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&gt;=3场</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74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博览会会展面积</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=14万平方米</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=14万平方米</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4万平方米</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5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博览会会展展位数量（个）</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&gt;=5800个</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&gt;=5800个</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2104个</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986"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境内参展企业数量（家）</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&gt;=1265家</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=1791家</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&gt;=864家</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3"/>
                <w:szCs w:val="13"/>
                <w:u w:val="none"/>
                <w:lang w:val="en-US" w:eastAsia="zh-CN" w:bidi="ar"/>
              </w:rPr>
              <w:t>预估有1265家企业参展，实际参展1791家。增加原因一是招商推介宣传力度增强。二是展览面积增加，最终有1791家境内企业参展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9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境外参展企业数量（家）</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&gt;=120家</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=435家</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362.5</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&gt;=35家</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3"/>
                <w:szCs w:val="13"/>
                <w:u w:val="none"/>
                <w:lang w:val="en-US" w:eastAsia="zh-CN" w:bidi="ar"/>
              </w:rPr>
              <w:t>预估有120家企业参展，实际参展435家。增加原因一是境外招商推介宣传力度增强。自治区领导带队出访中亚五国，加大了境外宣传推介力度；二是中国—亚欧博览会对外宣传的招牌境外影响力及知名度逐步扩大提升，企业参展积极性明显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52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境内外与会嘉宾及参展人数（人）</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&gt;=20000人</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&gt;=20000人</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64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博览会线上平台云业务服务技术支持保障率（%</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博览会参展企业到位率（%）</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9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博览会形象宣传及媒体投放工作达标率（%）</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政府采购应采尽采事项验收合格率（%）</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博览会举办时间</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2024年6月</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=2024年6月</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2022年8月</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博览会策划组织实施完成时效性</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531"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博览会经费支付及时性</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74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博览会会务费控制率</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参展境内企业数量增长率（%）</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&gt;=130%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博览会国际化、专业化、市场化品牌形象</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进一步提升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进一步提升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对新疆对外贸易可持续发展的影响</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长期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直接赋分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89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参展企业参展满意度（%）</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dxa"/>
          <w:trHeight w:val="380" w:hRule="atLeast"/>
        </w:trPr>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专业观众参会满意度（%）</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58" w:type="dxa"/>
            <w:gridSpan w:val="28"/>
            <w:tcBorders>
              <w:top w:val="nil"/>
              <w:left w:val="nil"/>
              <w:bottom w:val="nil"/>
              <w:right w:val="nil"/>
            </w:tcBorders>
            <w:shd w:val="clear" w:color="auto" w:fill="auto"/>
            <w:vAlign w:val="center"/>
          </w:tcPr>
          <w:tbl>
            <w:tblPr>
              <w:tblW w:w="15151"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360"/>
              <w:gridCol w:w="885"/>
              <w:gridCol w:w="930"/>
              <w:gridCol w:w="945"/>
              <w:gridCol w:w="1035"/>
              <w:gridCol w:w="1050"/>
              <w:gridCol w:w="1426"/>
              <w:gridCol w:w="1109"/>
              <w:gridCol w:w="1066"/>
              <w:gridCol w:w="3105"/>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33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总分</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930"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96.95分</w:t>
                  </w:r>
                </w:p>
              </w:tc>
              <w:tc>
                <w:tcPr>
                  <w:tcW w:w="14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1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pStyle w:val="2"/>
              <w:rPr>
                <w:rFonts w:hint="eastAsia" w:ascii="宋体" w:hAnsi="宋体" w:eastAsia="宋体" w:cs="宋体"/>
                <w:b/>
                <w:bCs/>
                <w:i w:val="0"/>
                <w:iCs w:val="0"/>
                <w:color w:val="000000"/>
                <w:kern w:val="0"/>
                <w:sz w:val="32"/>
                <w:szCs w:val="32"/>
                <w:u w:val="none"/>
                <w:lang w:val="en-US" w:eastAsia="zh-CN" w:bidi="ar"/>
              </w:rPr>
            </w:pPr>
          </w:p>
          <w:p>
            <w:pPr>
              <w:pStyle w:val="3"/>
              <w:rPr>
                <w:rFonts w:hint="eastAsia"/>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5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60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第八届中国—亚欧博览会纺织服装企业参展补贴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49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自治区商务厅</w:t>
            </w:r>
          </w:p>
        </w:tc>
        <w:tc>
          <w:tcPr>
            <w:tcW w:w="2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64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新疆国际博览事务局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2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2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2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88.80</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88.80</w:t>
            </w:r>
          </w:p>
        </w:tc>
        <w:tc>
          <w:tcPr>
            <w:tcW w:w="2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58.77</w:t>
            </w:r>
          </w:p>
        </w:tc>
        <w:tc>
          <w:tcPr>
            <w:tcW w:w="2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66.18%</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其中：当年财政拨款</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88.80</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88.80</w:t>
            </w:r>
          </w:p>
        </w:tc>
        <w:tc>
          <w:tcPr>
            <w:tcW w:w="2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58.77</w:t>
            </w:r>
          </w:p>
        </w:tc>
        <w:tc>
          <w:tcPr>
            <w:tcW w:w="2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其他资金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5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862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6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新疆纺织服装企业申请展位费补贴和特装搭建费补贴，鼓励企业以“中国—亚欧博览会”为平台，开展品牌宣传推介和投资贸易洽谈，促进企业间交流与合作，对不断提升新疆纺织服装企业知名度、推动新疆纺织服装产业发展发挥了积极作用。</w:t>
            </w:r>
          </w:p>
        </w:tc>
        <w:tc>
          <w:tcPr>
            <w:tcW w:w="862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新疆纺织服装企业申请展位费补贴和特装搭建费补贴，鼓励企业以“中国—亚欧博览会”为平台，开展品牌宣传推介和投资贸易洽谈，促进企业间交流与合作，对不断提升新疆纺织服装企业知名度、推动新疆纺织服装产业发展发挥了积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目标值</w:t>
            </w:r>
          </w:p>
        </w:tc>
        <w:tc>
          <w:tcPr>
            <w:tcW w:w="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业绩值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完成率</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指标值设定依据</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上年完成情况</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赋分规则</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年度绩效指标完成情况</w:t>
            </w:r>
          </w:p>
        </w:tc>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安排展位数量</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=40个</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=40个</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124个</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安排展位面积</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=2400平方米</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=2400平方米</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1242平方米</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参展企业数量</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&gt;=40家</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=40家</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107家</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博览会按时完成率</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降低标准展位租金成本</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330元/平方米</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=330元/平方米</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640元/平方米</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降低特装展位租金成本</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300元/平方米</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=300元/平方米</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500元/平方米</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提升博览会知名度带动产业发展</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效果显著提高</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达到预期效果</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300元/平方米</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参展企业满意度</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其他标准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618" w:type="dxa"/>
            <w:gridSpan w:val="8"/>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96.62分</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sectPr>
          <w:pgSz w:w="15840" w:h="12240" w:orient="landscape"/>
          <w:pgMar w:top="1803" w:right="249" w:bottom="1803" w:left="306" w:header="720" w:footer="720" w:gutter="0"/>
          <w:cols w:space="0" w:num="1"/>
          <w:rtlGutter w:val="0"/>
          <w:docGrid w:linePitch="0" w:charSpace="0"/>
        </w:sect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九、《财政拨款“三公”经费支出决算表》</w:t>
      </w:r>
    </w:p>
    <w:p>
      <w:pPr>
        <w:pStyle w:val="2"/>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p>
    <w:p>
      <w:pPr>
        <w:pStyle w:val="2"/>
        <w:keepLines w:val="0"/>
        <w:pageBreakBefore w:val="0"/>
        <w:kinsoku/>
        <w:wordWrap/>
        <w:overflowPunct/>
        <w:topLinePunct w:val="0"/>
        <w:autoSpaceDE/>
        <w:autoSpaceDN/>
        <w:bidi w:val="0"/>
        <w:spacing w:line="560" w:lineRule="exact"/>
        <w:rPr>
          <w:rFonts w:hint="default"/>
          <w:lang w:val="en-US" w:eastAsia="zh-CN"/>
        </w:rPr>
      </w:pPr>
      <w:r>
        <w:rPr>
          <w:rFonts w:hint="eastAsia" w:ascii="仿宋_GB2312" w:hAnsi="仿宋_GB2312" w:cs="仿宋_GB2312"/>
          <w:bCs/>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pPr>
    </w:p>
    <w:sectPr>
      <w:pgSz w:w="12240" w:h="15840"/>
      <w:pgMar w:top="1440" w:right="1803" w:bottom="1440" w:left="1803"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13736"/>
    <w:rsid w:val="03F26FEA"/>
    <w:rsid w:val="0B3D4F45"/>
    <w:rsid w:val="0F1550CD"/>
    <w:rsid w:val="12FE6C66"/>
    <w:rsid w:val="160E4F3B"/>
    <w:rsid w:val="27290D55"/>
    <w:rsid w:val="30F2365A"/>
    <w:rsid w:val="32E2418A"/>
    <w:rsid w:val="335E517F"/>
    <w:rsid w:val="375FF73C"/>
    <w:rsid w:val="3CBB3615"/>
    <w:rsid w:val="3CE66579"/>
    <w:rsid w:val="3FD9F79C"/>
    <w:rsid w:val="41093E67"/>
    <w:rsid w:val="43215D1E"/>
    <w:rsid w:val="533C039D"/>
    <w:rsid w:val="556E9AE6"/>
    <w:rsid w:val="57761785"/>
    <w:rsid w:val="57B7AC9D"/>
    <w:rsid w:val="57FFD34A"/>
    <w:rsid w:val="58135BA6"/>
    <w:rsid w:val="5ED01A73"/>
    <w:rsid w:val="5EE72A2F"/>
    <w:rsid w:val="5F983BE5"/>
    <w:rsid w:val="5FBF3693"/>
    <w:rsid w:val="616E73FE"/>
    <w:rsid w:val="69083562"/>
    <w:rsid w:val="69A36A7C"/>
    <w:rsid w:val="6A935446"/>
    <w:rsid w:val="6BF34B81"/>
    <w:rsid w:val="6E0B07C6"/>
    <w:rsid w:val="73FA2428"/>
    <w:rsid w:val="758A5BFB"/>
    <w:rsid w:val="76DE399F"/>
    <w:rsid w:val="76FEE3ED"/>
    <w:rsid w:val="7C4E477F"/>
    <w:rsid w:val="7CD1096D"/>
    <w:rsid w:val="7D98764B"/>
    <w:rsid w:val="7F7AD1EE"/>
    <w:rsid w:val="7FFAB01B"/>
    <w:rsid w:val="9EFFAC15"/>
    <w:rsid w:val="BCFF2B6C"/>
    <w:rsid w:val="BF6F0AAE"/>
    <w:rsid w:val="BFFF464C"/>
    <w:rsid w:val="D5DB5AA2"/>
    <w:rsid w:val="D77FAAA5"/>
    <w:rsid w:val="DFDFBD33"/>
    <w:rsid w:val="F6F70D08"/>
    <w:rsid w:val="F79BEAAA"/>
    <w:rsid w:val="FDAEC3CA"/>
    <w:rsid w:val="FF73194F"/>
    <w:rsid w:val="FF7FDD81"/>
    <w:rsid w:val="FFFFF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toc 4"/>
    <w:basedOn w:val="1"/>
    <w:next w:val="1"/>
    <w:qFormat/>
    <w:uiPriority w:val="0"/>
    <w:pPr>
      <w:ind w:left="1260" w:leftChars="6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paragraph" w:customStyle="1" w:styleId="10">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8966</Words>
  <Characters>10231</Characters>
  <Lines>0</Lines>
  <Paragraphs>0</Paragraphs>
  <TotalTime>43</TotalTime>
  <ScaleCrop>false</ScaleCrop>
  <LinksUpToDate>false</LinksUpToDate>
  <CharactersWithSpaces>10274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2025-08-27T18:54:00Z</dcterms:created>
  <dc:creator>Administrator</dc:creator>
  <cp:lastModifiedBy>Administrator</cp:lastModifiedBy>
  <dcterms:modified xsi:type="dcterms:W3CDTF">2025-08-28T04:24:22Z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7C8A6C4B806C4FF1A0C09B5DB4B0ABDC</vt:lpwstr>
  </property>
</Properties>
</file>