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C7E7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rPr>
          <w:rFonts w:hint="default" w:ascii="Times New Roman" w:hAnsi="Times New Roman" w:eastAsia="宋体" w:cs="Times New Roman"/>
          <w:sz w:val="32"/>
          <w:szCs w:val="32"/>
        </w:rPr>
      </w:pPr>
    </w:p>
    <w:p w14:paraId="204FDD0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rPr>
          <w:rFonts w:hint="default" w:ascii="Times New Roman" w:hAnsi="Times New Roman" w:eastAsia="宋体" w:cs="Times New Roman"/>
          <w:sz w:val="44"/>
          <w:szCs w:val="44"/>
        </w:rPr>
      </w:pPr>
    </w:p>
    <w:p w14:paraId="6ABCCAF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rPr>
          <w:rFonts w:hint="default" w:ascii="Times New Roman" w:hAnsi="Times New Roman" w:eastAsia="宋体" w:cs="Times New Roman"/>
          <w:sz w:val="44"/>
          <w:szCs w:val="44"/>
        </w:rPr>
      </w:pPr>
    </w:p>
    <w:p w14:paraId="5BCFA8A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rPr>
          <w:rFonts w:hint="default" w:ascii="Times New Roman" w:hAnsi="Times New Roman" w:eastAsia="宋体" w:cs="Times New Roman"/>
          <w:sz w:val="44"/>
          <w:szCs w:val="44"/>
        </w:rPr>
      </w:pPr>
    </w:p>
    <w:p w14:paraId="534817F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sz w:val="44"/>
          <w:szCs w:val="44"/>
        </w:rPr>
        <w:t>新疆商贸经济学校</w:t>
      </w:r>
    </w:p>
    <w:p w14:paraId="28F7B3C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sz w:val="44"/>
          <w:szCs w:val="44"/>
        </w:rPr>
        <w:t>2024年度部门决算公开说明</w:t>
      </w:r>
    </w:p>
    <w:p w14:paraId="0E534C18">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cs="Times New Roman"/>
        </w:rPr>
      </w:pPr>
      <w:r>
        <w:rPr>
          <w:rFonts w:hint="default" w:ascii="Times New Roman" w:hAnsi="Times New Roman" w:cs="Times New Roman"/>
          <w:b w:val="0"/>
          <w:sz w:val="0"/>
          <w:szCs w:val="0"/>
        </w:rPr>
        <w:br w:type="page"/>
      </w:r>
    </w:p>
    <w:p w14:paraId="06D9643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b/>
          <w:sz w:val="32"/>
          <w:szCs w:val="32"/>
        </w:rPr>
        <w:t>目  录</w:t>
      </w:r>
    </w:p>
    <w:p w14:paraId="29F2C8C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第一部分单位概况</w:t>
      </w:r>
    </w:p>
    <w:p w14:paraId="0FAD763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一、主要职能</w:t>
      </w:r>
    </w:p>
    <w:p w14:paraId="0B1F335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二、机构设置及人员情况</w:t>
      </w:r>
    </w:p>
    <w:p w14:paraId="26FA410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第二部分 部门决算情况说明</w:t>
      </w:r>
    </w:p>
    <w:p w14:paraId="66455F3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一、收入支出决算总体情况说明</w:t>
      </w:r>
    </w:p>
    <w:p w14:paraId="380FB2B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二、收入决算情况说明</w:t>
      </w:r>
    </w:p>
    <w:p w14:paraId="1E94AB9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三、支出决算情况说明</w:t>
      </w:r>
    </w:p>
    <w:p w14:paraId="5989922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四、财政拨款收入支出决算总体情况说明</w:t>
      </w:r>
    </w:p>
    <w:p w14:paraId="4E49B5F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五、一般公共预算财政拨款支出决算情况说明</w:t>
      </w:r>
    </w:p>
    <w:p w14:paraId="0DB89B1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（一）一般公共预算财政拨款支出决算总体情况</w:t>
      </w:r>
    </w:p>
    <w:p w14:paraId="2F7F7EF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（二）一般公共预算财政拨款支出决算结构情况</w:t>
      </w:r>
    </w:p>
    <w:p w14:paraId="01C7024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（三）一般公共预算财政拨款支出决算具体情况</w:t>
      </w:r>
    </w:p>
    <w:p w14:paraId="527B455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auto"/>
          <w:sz w:val="32"/>
          <w:szCs w:val="32"/>
        </w:rPr>
        <w:t>六</w:t>
      </w:r>
      <w:r>
        <w:rPr>
          <w:rFonts w:hint="default" w:ascii="Times New Roman" w:hAnsi="Times New Roman" w:eastAsia="仿宋_GB2312" w:cs="Times New Roman"/>
          <w:b w:val="0"/>
          <w:sz w:val="32"/>
          <w:szCs w:val="32"/>
        </w:rPr>
        <w:t>、一般公共预算财政拨款基本支出决算情况说明</w:t>
      </w:r>
    </w:p>
    <w:p w14:paraId="7502479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七、政府性基金预算财政拨款收入支出决算情况说明</w:t>
      </w:r>
    </w:p>
    <w:p w14:paraId="0E24002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八、国有资本经营预算财政拨款收入支出决算情况说明</w:t>
      </w:r>
    </w:p>
    <w:p w14:paraId="4BCF783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九、财政拨款“三公”经费支出决算情况说明</w:t>
      </w:r>
    </w:p>
    <w:p w14:paraId="7273B3E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auto"/>
          <w:sz w:val="32"/>
          <w:szCs w:val="32"/>
        </w:rPr>
        <w:t>十</w:t>
      </w:r>
      <w:r>
        <w:rPr>
          <w:rFonts w:hint="default" w:ascii="Times New Roman" w:hAnsi="Times New Roman" w:eastAsia="仿宋_GB2312" w:cs="Times New Roman"/>
          <w:b w:val="0"/>
          <w:sz w:val="32"/>
          <w:szCs w:val="32"/>
        </w:rPr>
        <w:t>、其他重要事项的情况说明</w:t>
      </w:r>
    </w:p>
    <w:p w14:paraId="707C7F4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（一）机关运行经费及公用经费支出情况</w:t>
      </w:r>
    </w:p>
    <w:p w14:paraId="5027168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（二）政府采购情况</w:t>
      </w:r>
    </w:p>
    <w:p w14:paraId="5C0896E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（三）国有资产占用情况说明</w:t>
      </w:r>
    </w:p>
    <w:p w14:paraId="1F307D5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十一、预算绩效的情况说明</w:t>
      </w:r>
    </w:p>
    <w:p w14:paraId="3B4B9A8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十二、其他需说明的事项</w:t>
      </w:r>
    </w:p>
    <w:p w14:paraId="3B0C333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第三部分 专业名词解释</w:t>
      </w:r>
    </w:p>
    <w:p w14:paraId="24E8830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第四部分 部门决算报表（见附表）</w:t>
      </w:r>
    </w:p>
    <w:p w14:paraId="700FD2F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一、《收入支出决算总表》</w:t>
      </w:r>
    </w:p>
    <w:p w14:paraId="44ED389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二、《收入决算表》</w:t>
      </w:r>
    </w:p>
    <w:p w14:paraId="4F78538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三、《支出决算表》</w:t>
      </w:r>
    </w:p>
    <w:p w14:paraId="633333E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四、《财政拨款收入支出决算总表》</w:t>
      </w:r>
    </w:p>
    <w:p w14:paraId="3508516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五、《一般公共预算财政拨款支出决算表》</w:t>
      </w:r>
    </w:p>
    <w:p w14:paraId="53F9556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六、《一般公共预算财政拨款基本支出决算表》</w:t>
      </w:r>
    </w:p>
    <w:p w14:paraId="28372C4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七、《政府性基金预算财政拨款收入支出决算表》</w:t>
      </w:r>
    </w:p>
    <w:p w14:paraId="2E1F73B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八、《国有资本经营预算财政拨款收入支出决算表》</w:t>
      </w:r>
    </w:p>
    <w:p w14:paraId="1378388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九、《财政拨款“三公”经费支出决算表》</w:t>
      </w:r>
    </w:p>
    <w:p w14:paraId="56A0F9ED">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val="0"/>
          <w:sz w:val="0"/>
          <w:szCs w:val="0"/>
        </w:rPr>
        <w:br w:type="page"/>
      </w:r>
    </w:p>
    <w:p w14:paraId="042A1C2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第一部分 单位概况</w:t>
      </w:r>
    </w:p>
    <w:p w14:paraId="565D325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 一、主要职能</w:t>
      </w:r>
    </w:p>
    <w:p w14:paraId="35DAA8F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我校是自治区重点物流、财经类中专学校，同时挂牌自治区高级技工学校，承担着全疆物流、计算机、电子商务、酒店服务与管理、会计等专业人才的培养任务，近年来主要承担南疆四地州生源的培养任务。</w:t>
      </w:r>
    </w:p>
    <w:p w14:paraId="44682AB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二、机构设置及人员情况</w:t>
      </w:r>
    </w:p>
    <w:p w14:paraId="3C508F9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新疆商贸经济学校2024年度，实有人数133人，其中：在职人员58人，减少1人；离休人员0人，较上年无变化；退休人员75人，较上年无变化；</w:t>
      </w:r>
    </w:p>
    <w:p w14:paraId="55D1631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新疆商贸经济学校无下属预算单位，下设12个处室，分别是：保卫科、招生就业办公室、校团委、党政办公室、总务科、思政办、教务科、督导室、学生科、资助中心、财务室、信息中心。</w:t>
      </w:r>
    </w:p>
    <w:p w14:paraId="05A6A773">
      <w:pPr>
        <w:keepNext w:val="0"/>
        <w:keepLines w:val="0"/>
        <w:pageBreakBefore w:val="0"/>
        <w:widowControl/>
        <w:kinsoku/>
        <w:wordWrap/>
        <w:overflowPunct/>
        <w:topLinePunct w:val="0"/>
        <w:autoSpaceDE/>
        <w:autoSpaceDN/>
        <w:bidi w:val="0"/>
        <w:adjustRightInd/>
        <w:snapToGrid/>
        <w:spacing w:line="560" w:lineRule="exact"/>
        <w:ind w:firstLine="0" w:firstLineChars="200"/>
        <w:textAlignment w:val="auto"/>
        <w:rPr>
          <w:rFonts w:hint="default" w:ascii="Times New Roman" w:hAnsi="Times New Roman" w:cs="Times New Roman"/>
        </w:rPr>
      </w:pPr>
      <w:r>
        <w:rPr>
          <w:rFonts w:hint="default" w:ascii="Times New Roman" w:hAnsi="Times New Roman" w:cs="Times New Roman"/>
          <w:b w:val="0"/>
          <w:sz w:val="0"/>
          <w:szCs w:val="0"/>
        </w:rPr>
        <w:br w:type="page"/>
      </w:r>
    </w:p>
    <w:p w14:paraId="646B874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0" w:firstLineChars="0"/>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第二部分 部门决算情况说明</w:t>
      </w:r>
    </w:p>
    <w:p w14:paraId="163AAC9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一、收入支出决算总体情况说明</w:t>
      </w:r>
    </w:p>
    <w:p w14:paraId="5913298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2024年度收入总计2,592.51万元，其中：本年收入合计2,592.51万元，使用非财政拨款结余（含专用结余）0.00万元，年初结转和结余0.00万元。</w:t>
      </w:r>
    </w:p>
    <w:p w14:paraId="4873286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2024年度支出总计2,592.51</w:t>
      </w:r>
      <w:bookmarkStart w:id="0" w:name="_GoBack"/>
      <w:bookmarkEnd w:id="0"/>
      <w:r>
        <w:rPr>
          <w:rFonts w:hint="default" w:ascii="Times New Roman" w:hAnsi="Times New Roman" w:eastAsia="仿宋_GB2312" w:cs="Times New Roman"/>
          <w:b w:val="0"/>
          <w:sz w:val="32"/>
          <w:szCs w:val="32"/>
        </w:rPr>
        <w:t>万元，其中：本年支出合计2,333.99万元，结余分配28.38万元，年末结转和结余230.14万元。</w:t>
      </w:r>
    </w:p>
    <w:p w14:paraId="66C7DBC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收入支出总体与上年相比，减少1,785.52万元，下降40.78%，主要原因是：2023年收支中不仅包括以前年度结转的项目资金收支964.72万元、还包括当年拨付的教育质量提升项目资金收支606.00万元，2024年未安排此类专项资金。</w:t>
      </w:r>
    </w:p>
    <w:p w14:paraId="16F70F7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二、收入决算情况说明</w:t>
      </w:r>
    </w:p>
    <w:p w14:paraId="01F06D6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本年收入2,592.51万元，其中：财政拨款收入</w:t>
      </w:r>
      <w:r>
        <w:rPr>
          <w:rFonts w:hint="default" w:ascii="Times New Roman" w:hAnsi="Times New Roman" w:eastAsia="仿宋_GB2312" w:cs="Times New Roman"/>
          <w:b w:val="0"/>
          <w:color w:val="auto"/>
          <w:sz w:val="32"/>
          <w:szCs w:val="32"/>
        </w:rPr>
        <w:t>2,530.31</w:t>
      </w:r>
      <w:r>
        <w:rPr>
          <w:rFonts w:hint="default" w:ascii="Times New Roman" w:hAnsi="Times New Roman" w:eastAsia="仿宋_GB2312" w:cs="Times New Roman"/>
          <w:b w:val="0"/>
          <w:sz w:val="32"/>
          <w:szCs w:val="32"/>
        </w:rPr>
        <w:t>万元,占97.60%；上级补助收入0.00万元,占0.00%；事业收入0.00万元，占0.00%；经营收入0.00万元,占0.00%；附属单位上缴收入0.00万元，占0.00%；其他收入</w:t>
      </w:r>
      <w:r>
        <w:rPr>
          <w:rFonts w:hint="default" w:ascii="Times New Roman" w:hAnsi="Times New Roman" w:eastAsia="仿宋_GB2312" w:cs="Times New Roman"/>
          <w:b w:val="0"/>
          <w:color w:val="auto"/>
          <w:sz w:val="32"/>
          <w:szCs w:val="32"/>
        </w:rPr>
        <w:t>62.21</w:t>
      </w:r>
      <w:r>
        <w:rPr>
          <w:rFonts w:hint="default" w:ascii="Times New Roman" w:hAnsi="Times New Roman" w:eastAsia="仿宋_GB2312" w:cs="Times New Roman"/>
          <w:b w:val="0"/>
          <w:sz w:val="32"/>
          <w:szCs w:val="32"/>
        </w:rPr>
        <w:t>万元，占2.40%。</w:t>
      </w:r>
    </w:p>
    <w:p w14:paraId="618A591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三、支出决算情况说明</w:t>
      </w:r>
    </w:p>
    <w:p w14:paraId="7399FD1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本年支出2,333.99万元，其中：基本支出1,658.52万元，占71.06%；项目支出675.47万元，占28.94%；上缴上级支出0.00万元，占0.00%；经营支出0.00万元，占0.00%；对附属单位补助支出0.00万元，占0.00%。</w:t>
      </w:r>
    </w:p>
    <w:p w14:paraId="4B1888E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四、财政拨款收入支出决算总体情况说明</w:t>
      </w:r>
    </w:p>
    <w:p w14:paraId="2CE51E6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2024年度财政拨款收入总计2,530.31万元，其中：年初财政拨款结转和结余0.00万元，本年财政拨款收入2,530.31万元。财政拨款支出总计2,530.31万元，其中：年末财政拨款结转和结余230.14万元，本年财政拨款支出2,300.16万元。</w:t>
      </w:r>
    </w:p>
    <w:p w14:paraId="04ED29E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财政拨款收入支出总体与上年相比，减少889.80万元，下降26.02%，主要原因是：</w:t>
      </w:r>
      <w:r>
        <w:rPr>
          <w:rFonts w:hint="default" w:ascii="Times New Roman" w:hAnsi="Times New Roman" w:eastAsia="仿宋_GB2312" w:cs="Times New Roman"/>
          <w:b w:val="0"/>
          <w:sz w:val="32"/>
          <w:szCs w:val="32"/>
          <w:lang w:val="en-US" w:eastAsia="zh-CN"/>
        </w:rPr>
        <w:t>我单位</w:t>
      </w:r>
      <w:r>
        <w:rPr>
          <w:rFonts w:hint="default" w:ascii="Times New Roman" w:hAnsi="Times New Roman" w:eastAsia="仿宋_GB2312" w:cs="Times New Roman"/>
          <w:b w:val="0"/>
          <w:sz w:val="32"/>
          <w:szCs w:val="32"/>
        </w:rPr>
        <w:t>2024年未安排教育质量提升专项资金等收支计划</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b w:val="0"/>
          <w:sz w:val="32"/>
          <w:szCs w:val="32"/>
          <w:lang w:val="en-US" w:eastAsia="zh-CN"/>
        </w:rPr>
        <w:t>财政拨款收入较上年减少</w:t>
      </w:r>
      <w:r>
        <w:rPr>
          <w:rFonts w:hint="default" w:ascii="Times New Roman" w:hAnsi="Times New Roman" w:eastAsia="仿宋_GB2312" w:cs="Times New Roman"/>
          <w:b w:val="0"/>
          <w:sz w:val="32"/>
          <w:szCs w:val="32"/>
        </w:rPr>
        <w:t>。与年初预算相比，年初预算数2,610.33万元，决算数2,530.31万元，预决算差异率-3.07%，主要原因是：年初预算上年结转资金中的免住宿免教材专项资金结余部分未使用收回财政。</w:t>
      </w:r>
    </w:p>
    <w:p w14:paraId="267C9F7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五、一般公共预算财政拨款支出决算情况说明</w:t>
      </w:r>
    </w:p>
    <w:p w14:paraId="04F80D2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（一）一般公共预算财政拨款支出决算总体情况</w:t>
      </w:r>
    </w:p>
    <w:p w14:paraId="5D164A9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2024年度一般公共预算财政拨款支出2,300.16万元，占本年支出合计的98.55%。与上年相比，减少1,119.95万元，下降32.75%，主要原因是：2024年未安排教育质量提升专项资金等支出计划以及因单位整合减少招生人数使三免一补支出减少。与年初预算相比，年初预算数2,610.33万元，决算数2,300.16万元，预决算差异率-11.88%，主要原因是：年初预算上年结转资金中的免住宿免教材专项资金结余部分未使用收回财政；当年专项资金中的免住宿免教材专项资金未支出结转下年。</w:t>
      </w:r>
    </w:p>
    <w:p w14:paraId="2C46C03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（二）一般公共预算财政拨款支出决算结构情况</w:t>
      </w:r>
    </w:p>
    <w:p w14:paraId="567E514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lang w:val="en-US" w:eastAsia="zh-CN"/>
        </w:rPr>
        <w:t>1.</w:t>
      </w:r>
      <w:r>
        <w:rPr>
          <w:rFonts w:hint="default" w:ascii="Times New Roman" w:hAnsi="Times New Roman" w:eastAsia="仿宋_GB2312" w:cs="Times New Roman"/>
          <w:b w:val="0"/>
          <w:sz w:val="32"/>
          <w:szCs w:val="32"/>
        </w:rPr>
        <w:t>教育支出（类）2,300.16万元，占100.00%。</w:t>
      </w:r>
    </w:p>
    <w:p w14:paraId="07723AF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（三）一般公共预算财政拨款支出决算具体情况</w:t>
      </w:r>
    </w:p>
    <w:p w14:paraId="34D798C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1</w:t>
      </w:r>
      <w:r>
        <w:rPr>
          <w:rFonts w:hint="default"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rPr>
        <w:t>教育支出（类）职业教育（款）中等职业教育（项）：支出决算数为1,920.90万元，比上年决算减少1,209.11万元，下降38.63%，主要原因是：2024年收支中以前年度结转的项目资金支出金额比2023年度减少、本年未安排教育质量提升项目资金支出以及因单位整合减少招生人数导致相应的专项资金支出减少。</w:t>
      </w:r>
    </w:p>
    <w:p w14:paraId="3F023CC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2</w:t>
      </w:r>
      <w:r>
        <w:rPr>
          <w:rFonts w:hint="default"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rPr>
        <w:t>教育支出（类）职业教育（款）技校教育（项）：支出决算数为379.26万元，比上年决算增加105.41万元，增长38.49%，主要原因是：2024年度在校学生人数中技校学籍学生比重高于2023年，对应技校教育专项资金支出额高于2023年度。</w:t>
      </w:r>
    </w:p>
    <w:p w14:paraId="3D8B965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3</w:t>
      </w:r>
      <w:r>
        <w:rPr>
          <w:rFonts w:hint="default" w:ascii="Times New Roman" w:hAnsi="Times New Roman" w:eastAsia="仿宋_GB2312" w:cs="Times New Roman"/>
          <w:b w:val="0"/>
          <w:sz w:val="32"/>
          <w:szCs w:val="32"/>
          <w:lang w:val="en-US" w:eastAsia="zh-CN"/>
        </w:rPr>
        <w:t>.</w:t>
      </w:r>
      <w:r>
        <w:rPr>
          <w:rFonts w:hint="default" w:ascii="Times New Roman" w:hAnsi="Times New Roman" w:eastAsia="仿宋_GB2312" w:cs="Times New Roman"/>
          <w:b w:val="0"/>
          <w:sz w:val="32"/>
          <w:szCs w:val="32"/>
        </w:rPr>
        <w:t>社会保障和就业支出（类）行政事业单位养老支出（款）事业单位离退休（项）：支出决算数为0.00万元，比上年决算减少16.25万元，下降100.00%，主要原因是：2023年离退休经费中绩效奖的列支口径与2024年不同，2023年列为事业单位离退休（项），2024年列在中专教育（项）中。</w:t>
      </w:r>
    </w:p>
    <w:p w14:paraId="45A1971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六、一般公共预算财政拨款基本支出决算情况说明</w:t>
      </w:r>
    </w:p>
    <w:p w14:paraId="37D0BDD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2024年度一般公共预算财政拨款基本支出1,624.69万元，其中：人员经费1,166.84万元，包括：基本工资、津贴补贴、奖金、绩效工资、机关事业单位基本养老保险缴费、职业年金缴费、职工基本医疗保险缴费、公务员医疗补助缴费、其他社会保障缴费、住房公积金、其他工资福利支出、退休费、抚恤金和其他对个人和家庭的补助。</w:t>
      </w:r>
    </w:p>
    <w:p w14:paraId="0EF5F89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公用经费457.85万元，包括：办公费、水费、电费、邮电费、取暖费、物业管理费、差旅费、维修（护）费、培训费、专用材料费、劳务费、工会经费、福利费、公务用车运行维护费、其他交通费用、其他商品和服务支出和专用设备购置。</w:t>
      </w:r>
    </w:p>
    <w:p w14:paraId="4857FAE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七、政府性基金预算财政拨款收入支出决算情况说明</w:t>
      </w:r>
    </w:p>
    <w:p w14:paraId="3A2E5B6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本单位本年度无政府性基金预算财政拨款收入、支出及结转和结余，政府性基金预算财政拨款收入支出决算表为空表。</w:t>
      </w:r>
    </w:p>
    <w:p w14:paraId="3CB0B82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八、国有资本经营预算财政拨款收入支出决算情况说明</w:t>
      </w:r>
    </w:p>
    <w:p w14:paraId="2A07FFA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本单位本年度无国有资本经营预算财政拨款收入、支出及结转和结余，国有资本经营预算财政拨款收入支出决算表为空表。</w:t>
      </w:r>
    </w:p>
    <w:p w14:paraId="62B995F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九、财政拨款“三公”经费支出决算情况说明</w:t>
      </w:r>
    </w:p>
    <w:p w14:paraId="04DE052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2024年度财政拨款“三公”经费支出2.50万元，比上年增加0.01万元，增长0.40%，主要原因是：</w:t>
      </w:r>
      <w:r>
        <w:rPr>
          <w:rFonts w:hint="default" w:ascii="Times New Roman" w:hAnsi="Times New Roman" w:eastAsia="仿宋_GB2312" w:cs="Times New Roman"/>
          <w:b w:val="0"/>
          <w:color w:val="auto"/>
          <w:sz w:val="32"/>
          <w:szCs w:val="32"/>
        </w:rPr>
        <w:t>车辆</w:t>
      </w:r>
      <w:r>
        <w:rPr>
          <w:rFonts w:hint="default" w:ascii="Times New Roman" w:hAnsi="Times New Roman" w:eastAsia="仿宋_GB2312" w:cs="Times New Roman"/>
          <w:b w:val="0"/>
          <w:color w:val="auto"/>
          <w:sz w:val="32"/>
          <w:szCs w:val="32"/>
          <w:lang w:val="en-US" w:eastAsia="zh-CN"/>
        </w:rPr>
        <w:t>老化，</w:t>
      </w:r>
      <w:r>
        <w:rPr>
          <w:rFonts w:hint="default" w:ascii="Times New Roman" w:hAnsi="Times New Roman" w:eastAsia="仿宋_GB2312" w:cs="Times New Roman"/>
          <w:b w:val="0"/>
          <w:color w:val="auto"/>
          <w:sz w:val="32"/>
          <w:szCs w:val="32"/>
        </w:rPr>
        <w:t>维修费</w:t>
      </w:r>
      <w:r>
        <w:rPr>
          <w:rFonts w:hint="default" w:ascii="Times New Roman" w:hAnsi="Times New Roman" w:eastAsia="仿宋_GB2312" w:cs="Times New Roman"/>
          <w:b w:val="0"/>
          <w:color w:val="auto"/>
          <w:sz w:val="32"/>
          <w:szCs w:val="32"/>
          <w:lang w:val="en-US" w:eastAsia="zh-CN"/>
        </w:rPr>
        <w:t>比上年</w:t>
      </w:r>
      <w:r>
        <w:rPr>
          <w:rFonts w:hint="default" w:ascii="Times New Roman" w:hAnsi="Times New Roman" w:eastAsia="仿宋_GB2312" w:cs="Times New Roman"/>
          <w:b w:val="0"/>
          <w:color w:val="auto"/>
          <w:sz w:val="32"/>
          <w:szCs w:val="32"/>
        </w:rPr>
        <w:t>增加。</w:t>
      </w:r>
      <w:r>
        <w:rPr>
          <w:rFonts w:hint="default" w:ascii="Times New Roman" w:hAnsi="Times New Roman" w:eastAsia="仿宋_GB2312" w:cs="Times New Roman"/>
          <w:b w:val="0"/>
          <w:sz w:val="32"/>
          <w:szCs w:val="32"/>
        </w:rPr>
        <w:t>其中：因公出国（境）费支出0.00万元,占0.00%，与上年相比无变化，主要原因是：本年未安排此项支出；公务用车购置及运行维护费支出2.50万元，占100.00%，比上年增加0.01万元，增长0.40%，主要原因是：</w:t>
      </w:r>
      <w:r>
        <w:rPr>
          <w:rFonts w:hint="default" w:ascii="Times New Roman" w:hAnsi="Times New Roman" w:eastAsia="仿宋_GB2312" w:cs="Times New Roman"/>
          <w:b w:val="0"/>
          <w:color w:val="auto"/>
          <w:sz w:val="32"/>
          <w:szCs w:val="32"/>
        </w:rPr>
        <w:t>车辆</w:t>
      </w:r>
      <w:r>
        <w:rPr>
          <w:rFonts w:hint="default" w:ascii="Times New Roman" w:hAnsi="Times New Roman" w:eastAsia="仿宋_GB2312" w:cs="Times New Roman"/>
          <w:b w:val="0"/>
          <w:color w:val="auto"/>
          <w:sz w:val="32"/>
          <w:szCs w:val="32"/>
          <w:lang w:val="en-US" w:eastAsia="zh-CN"/>
        </w:rPr>
        <w:t>老化，</w:t>
      </w:r>
      <w:r>
        <w:rPr>
          <w:rFonts w:hint="default" w:ascii="Times New Roman" w:hAnsi="Times New Roman" w:eastAsia="仿宋_GB2312" w:cs="Times New Roman"/>
          <w:b w:val="0"/>
          <w:color w:val="auto"/>
          <w:sz w:val="32"/>
          <w:szCs w:val="32"/>
        </w:rPr>
        <w:t>维修费</w:t>
      </w:r>
      <w:r>
        <w:rPr>
          <w:rFonts w:hint="default" w:ascii="Times New Roman" w:hAnsi="Times New Roman" w:eastAsia="仿宋_GB2312" w:cs="Times New Roman"/>
          <w:b w:val="0"/>
          <w:color w:val="auto"/>
          <w:sz w:val="32"/>
          <w:szCs w:val="32"/>
          <w:lang w:val="en-US" w:eastAsia="zh-CN"/>
        </w:rPr>
        <w:t>比上年</w:t>
      </w:r>
      <w:r>
        <w:rPr>
          <w:rFonts w:hint="default" w:ascii="Times New Roman" w:hAnsi="Times New Roman" w:eastAsia="仿宋_GB2312" w:cs="Times New Roman"/>
          <w:b w:val="0"/>
          <w:color w:val="auto"/>
          <w:sz w:val="32"/>
          <w:szCs w:val="32"/>
        </w:rPr>
        <w:t>增加；</w:t>
      </w:r>
      <w:r>
        <w:rPr>
          <w:rFonts w:hint="default" w:ascii="Times New Roman" w:hAnsi="Times New Roman" w:eastAsia="仿宋_GB2312" w:cs="Times New Roman"/>
          <w:b w:val="0"/>
          <w:sz w:val="32"/>
          <w:szCs w:val="32"/>
        </w:rPr>
        <w:t>公务接待费支出0.00万元，占0.00%，与上年相比无变化，主要原因是：本年未安排此项支出。</w:t>
      </w:r>
    </w:p>
    <w:p w14:paraId="563D9DA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具体情况如下：</w:t>
      </w:r>
    </w:p>
    <w:p w14:paraId="0B1CB8F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因公出国（境）费支出0.00万元，开支内容包括我单位无因公出国（境）费支出。单位全年安排的因公出国（境）团组0个，因公出国（境）0人次。</w:t>
      </w:r>
    </w:p>
    <w:p w14:paraId="3EE9F09D">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公务用车购置及运行维护费2.50万元，其中：公务用车购置费0.00万元，公务用车运行维护费2.50万元。公务用车运行维护费开支内容包括车辆保险、车辆加油、车辆维修等。公务用车购置数0辆，公务用车保有量1辆。国有资产占用情况中固定资产车辆1辆，与公务用车保有量差异原因是：公务用车保有量无差异。</w:t>
      </w:r>
    </w:p>
    <w:p w14:paraId="0BD4A4C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公务接待费0.00万元，开支内容包括我单位无公务接待费。单位全年安排的国内公务接待0批次，0人次。</w:t>
      </w:r>
    </w:p>
    <w:p w14:paraId="20DE62E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与全年预算相比，财政拨款“三公”经费支出全年预算数2.50万元，决算数2.50万元，预决算差异率0.00%，主要原因是：我单位严格按照三公经费的年初预算安排相应支出。其中：因公出国（境）费全年预算数0.00万元，决算数0.00万元，预决算差异率0.00%，主要原因是：我单位本年未安排因公出国（境）活动；公务用车购置费全年预算数0.00万元，决算数0.00万元，预决算差异率0.00%，主要原因是：我单位本年未安排公务用车购置；公务用车运行维护费全年预算数2.50万元，决算数2.50万元，预决算差异率0.00%，主要原因是：我单位严格按照公务用车运行维护费的年初预算安排相应支出；公务接待费全年预算数0.00万元，决算数0.00万元，预决算差异率0.00%，主要原因是：我单位本年未安排公务接待。</w:t>
      </w:r>
    </w:p>
    <w:p w14:paraId="0474DFA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十、其他重要事项的情况说明</w:t>
      </w:r>
    </w:p>
    <w:p w14:paraId="06A78DA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（一）机关运行经费及公用经费支出情况</w:t>
      </w:r>
    </w:p>
    <w:p w14:paraId="6CF7E60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2024年度新疆商贸经济学校单位（事业单位）公用经费支出457.85万元，比上年增加3.12万元，增长0.69%，主要原因是：</w:t>
      </w:r>
      <w:r>
        <w:rPr>
          <w:rFonts w:hint="default" w:ascii="Times New Roman" w:hAnsi="Times New Roman" w:eastAsia="仿宋_GB2312" w:cs="Times New Roman"/>
          <w:b w:val="0"/>
          <w:color w:val="auto"/>
          <w:sz w:val="32"/>
          <w:szCs w:val="32"/>
          <w:lang w:val="en-US" w:eastAsia="zh-CN"/>
        </w:rPr>
        <w:t>2024年我校单位办公用房暖气费较上年有所增加，公用经费较上年增加</w:t>
      </w:r>
      <w:r>
        <w:rPr>
          <w:rFonts w:hint="default" w:ascii="Times New Roman" w:hAnsi="Times New Roman" w:eastAsia="仿宋_GB2312" w:cs="Times New Roman"/>
          <w:b w:val="0"/>
          <w:color w:val="auto"/>
          <w:sz w:val="32"/>
          <w:szCs w:val="32"/>
        </w:rPr>
        <w:t>。</w:t>
      </w:r>
    </w:p>
    <w:p w14:paraId="312A146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（二）政府采购情况</w:t>
      </w:r>
    </w:p>
    <w:p w14:paraId="4FD2350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2024年度政府采购支出总额146.67万元，其中：政府采购货物支出46.51万元、政府采购工程支出99.30万元、政府采购服务支出0.86万元。</w:t>
      </w:r>
    </w:p>
    <w:p w14:paraId="549FF3F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授予中小企业合同金额14.67万元，占政府采购支出总额的10.00%，其中：授予小微企业合同金额14.67万元，占政府采购支出总额的10.00%。</w:t>
      </w:r>
    </w:p>
    <w:p w14:paraId="450A17FE">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（三）国有资产占用情况说明</w:t>
      </w:r>
    </w:p>
    <w:p w14:paraId="3545A5B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截至2024年12月31日，房屋17,393.00平方米，价值1,014.50万元。车辆1辆，价值17.93万元，其中：副部（省）级及以上领导用车0辆、主要负责人用车0辆、机要通信用车0辆、应急保障用车0辆、执法执勤用车0辆、特种专业技术用车0辆、离退休干部服务用车0辆、其他用车1辆，其他用车主要是：学校日常业务用车;单价100万元（含）以上设备（不含车辆）0台（套）。</w:t>
      </w:r>
    </w:p>
    <w:p w14:paraId="507B467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十一、预算绩效的情况说明</w:t>
      </w:r>
    </w:p>
    <w:p w14:paraId="5FC010D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sz w:val="32"/>
          <w:szCs w:val="32"/>
        </w:rPr>
        <w:t>根据预算绩效管理要求，本单位2024年度预算绩效评价项目1个，全年预算数20.00万元，全年执行数0.00万元</w:t>
      </w:r>
      <w:r>
        <w:rPr>
          <w:rFonts w:hint="default" w:ascii="Times New Roman" w:hAnsi="Times New Roman" w:eastAsia="仿宋_GB2312" w:cs="Times New Roman"/>
          <w:b w:val="0"/>
          <w:sz w:val="32"/>
          <w:szCs w:val="32"/>
          <w:lang w:eastAsia="zh-CN"/>
        </w:rPr>
        <w:t>，</w:t>
      </w:r>
      <w:r>
        <w:rPr>
          <w:rFonts w:hint="default" w:ascii="Times New Roman" w:hAnsi="Times New Roman" w:eastAsia="仿宋_GB2312" w:cs="Times New Roman"/>
          <w:b w:val="0"/>
          <w:color w:val="auto"/>
          <w:sz w:val="32"/>
          <w:szCs w:val="32"/>
          <w:lang w:val="en-US" w:eastAsia="zh-CN"/>
        </w:rPr>
        <w:t>主要原因是：该项目提前至2023年11月实施，相关费用2023年均已支付，2024年未支出</w:t>
      </w:r>
      <w:r>
        <w:rPr>
          <w:rFonts w:hint="default" w:ascii="Times New Roman" w:hAnsi="Times New Roman" w:eastAsia="仿宋_GB2312" w:cs="Times New Roman"/>
          <w:b w:val="0"/>
          <w:color w:val="auto"/>
          <w:sz w:val="32"/>
          <w:szCs w:val="32"/>
        </w:rPr>
        <w:t>。</w:t>
      </w:r>
    </w:p>
    <w:p w14:paraId="5881F07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预算绩效管理取得的成效：一是完成2024年教职工人员经费及时足额发放；二是维持正常教学秩序的稳定和基础办学条件的持续改善；三是通过项目建设改善了各专业的实训条件。发现的问题及原因：项目支出和预算的进度不匹配，前低后高，项目推进的步骤缺乏有序性，计划精准度不高；二是公用经费支出上下半年态势不均衡，日常开支规划能力不强。下一步改进措施：一是加强项目负责人的绩效意识，提高项目构建的有序性，尽量使项目进程不一蹴而就，也尽量避免拖沓和效率低；二是提高日常运转经费的计划精度，科学合理地分配资金，有条不紊保证日常工作的开展，保证教学只需井然有序。</w:t>
      </w:r>
      <w:r>
        <w:rPr>
          <w:rFonts w:hint="default" w:ascii="Times New Roman" w:hAnsi="Times New Roman" w:eastAsia="仿宋_GB2312" w:cs="Times New Roman"/>
          <w:b w:val="0"/>
          <w:sz w:val="32"/>
          <w:szCs w:val="32"/>
        </w:rPr>
        <w:t>具体项目自评情况附绩效自评表。</w:t>
      </w:r>
      <w:r>
        <w:rPr>
          <w:rFonts w:hint="default" w:ascii="Times New Roman" w:hAnsi="Times New Roman" w:eastAsia="仿宋_GB2312" w:cs="Times New Roman"/>
          <w:b w:val="0"/>
          <w:sz w:val="32"/>
          <w:szCs w:val="32"/>
        </w:rPr>
        <w:t>具体项目支出绩效自评表。</w:t>
      </w:r>
    </w:p>
    <w:p w14:paraId="0E553EE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十二、其他需说明的事项</w:t>
      </w:r>
    </w:p>
    <w:p w14:paraId="2573A71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本单位无其他需说明事项。</w:t>
      </w:r>
    </w:p>
    <w:p w14:paraId="168F4CB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b w:val="0"/>
          <w:sz w:val="32"/>
          <w:szCs w:val="32"/>
        </w:rPr>
      </w:pPr>
    </w:p>
    <w:p w14:paraId="5D530E9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b w:val="0"/>
          <w:sz w:val="32"/>
          <w:szCs w:val="32"/>
        </w:rPr>
        <w:sectPr>
          <w:footerReference r:id="rId5" w:type="default"/>
          <w:pgSz w:w="12240" w:h="15840"/>
          <w:pgMar w:top="1440" w:right="1800" w:bottom="1440" w:left="1800" w:header="720" w:footer="720" w:gutter="0"/>
          <w:cols w:space="720" w:num="1"/>
        </w:sectPr>
      </w:pPr>
    </w:p>
    <w:tbl>
      <w:tblPr>
        <w:tblStyle w:val="12"/>
        <w:tblW w:w="13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828"/>
        <w:gridCol w:w="1126"/>
        <w:gridCol w:w="1452"/>
        <w:gridCol w:w="827"/>
        <w:gridCol w:w="827"/>
        <w:gridCol w:w="829"/>
        <w:gridCol w:w="827"/>
        <w:gridCol w:w="828"/>
        <w:gridCol w:w="827"/>
        <w:gridCol w:w="828"/>
        <w:gridCol w:w="1316"/>
        <w:gridCol w:w="827"/>
        <w:gridCol w:w="831"/>
      </w:tblGrid>
      <w:tr w14:paraId="0B6D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3000" w:type="dxa"/>
            <w:gridSpan w:val="14"/>
            <w:tcBorders>
              <w:top w:val="nil"/>
              <w:left w:val="nil"/>
              <w:bottom w:val="nil"/>
              <w:right w:val="nil"/>
            </w:tcBorders>
            <w:shd w:val="clear" w:color="auto" w:fill="auto"/>
            <w:vAlign w:val="center"/>
          </w:tcPr>
          <w:p w14:paraId="16B83EDF">
            <w:pPr>
              <w:keepNext w:val="0"/>
              <w:keepLines w:val="0"/>
              <w:pageBreakBefore w:val="0"/>
              <w:widowControl/>
              <w:suppressLineNumbers w:val="0"/>
              <w:kinsoku/>
              <w:wordWrap/>
              <w:overflowPunct/>
              <w:topLinePunct w:val="0"/>
              <w:autoSpaceDE/>
              <w:autoSpaceDN/>
              <w:bidi w:val="0"/>
              <w:adjustRightInd/>
              <w:snapToGrid/>
              <w:spacing w:after="0" w:line="440" w:lineRule="exact"/>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项目支出绩效自评表</w:t>
            </w:r>
          </w:p>
        </w:tc>
      </w:tr>
      <w:tr w14:paraId="20F0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300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D7BFF8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(2024年度)</w:t>
            </w:r>
          </w:p>
        </w:tc>
      </w:tr>
      <w:tr w14:paraId="5BF5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059E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113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F9B9F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职业技能大赛</w:t>
            </w:r>
          </w:p>
        </w:tc>
      </w:tr>
      <w:tr w14:paraId="4818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52592">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50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332366">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3D88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46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BC097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新疆商贸经济学校</w:t>
            </w:r>
          </w:p>
        </w:tc>
      </w:tr>
      <w:tr w14:paraId="69B1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6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2D3A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（万元）</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A03B0">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505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DF4A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7964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7328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7015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CF1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14:paraId="49FC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2F4D3">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5A36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4F2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49F7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11BE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BF30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93A52">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AA2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r>
      <w:tr w14:paraId="07C4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1DDCA">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6552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5F1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E1BE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13AD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6E30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D30A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A01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8CA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6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ED1ED">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0B8F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433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90DB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D371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A2C3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076C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DAEE">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08C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099D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58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B0701C">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62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A12AB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14:paraId="1D9B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C9769">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58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B0BED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通过完成2024年承办赛项任务，获得技能教育标准技能教育质量认可；2、通过竞赛，为行业企业打造职业技能人才；3、通过训练和参赛，提升选手的综合技能水平；4、通过指导教师的指导，提高教师的专业教学水平；5、通过职业技能大赛，大力弘扬劳模精神、劳动精神、工匠精神、全面实施“技能新疆”行动；6、通过技能大赛平台，扩大学校的影响力；7、通过供应链管理师竞赛，让学生掌握供应链计划、采购、生产、物流等各环节管理工作的设计、数据分析等闭环业务；8、通过货运代理赛项，使学生运输业务陆海空业务代理实操技能；9、通过物联网赛事的举办，帮助学生掌握传感器、嵌入式系统、无线通信、网络协议、云计算与大数据等实用型技术。</w:t>
            </w:r>
          </w:p>
        </w:tc>
        <w:tc>
          <w:tcPr>
            <w:tcW w:w="62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DDC37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通过完成2024年承办赛项任务，获得技能教育标准技能教育质量认可；2、通过竞赛，为行业企业打造职业技能人才；3、通过训练和参赛，提升选手的综合技能水平；4、通过指导教师的指导，提高教师的专业教学水平；5、通过职业技能大赛，大力弘扬劳模精神、劳动精神、工匠精神、全面实施“技能新疆”行动；6、通过技能大赛平台，扩大学校的影响力；7、通过供应链管理师竞赛，让学生掌握供应链计划、采购、生产、物流等各环节管理工作的设计、数据分析等闭环业务；8、通过货运代理赛项，使学生运输业务陆海空业务代理实操技能；9、通过物联网赛事的举办，帮助学生掌握传感器、嵌入式系统、无线通信、网络协议、云计算与大数据等实用型技术。</w:t>
            </w:r>
          </w:p>
        </w:tc>
      </w:tr>
      <w:tr w14:paraId="4ABC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8E4F5">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C04A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F6B7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196B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1749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权重</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F200C">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目标值</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3CC0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业绩值</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D90FC">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完成率</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5B8C2">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指标得分</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0B9E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指标值设定依据</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5F96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上年完成情况</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611C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赋分规则</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66B9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佐证资料</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035E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14:paraId="1A8B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6DC7">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90F8C">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A816D">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FD2D5">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63F04">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4BEB9">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2C05">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744CA">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21AF">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4390B">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6152D">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821AE">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E997">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FF04F">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r>
      <w:tr w14:paraId="0427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E340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年度绩效指标完成情况</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58F7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产出指标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6FC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4B7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赛项设备购置数量</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A10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D10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&gt;=15个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FA9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32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3F1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4A3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计划标准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859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40D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按照完成比例赋分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EE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33D7">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6AE5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046B2">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4D6EA">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DF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7382">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承办比赛场次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A4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356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&gt;=3场</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B5A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=3场</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802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680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B49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计划标准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AA8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86E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按照完成比例赋分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D78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F1C">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6F4C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095A">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48FAC">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A07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392">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购置设备合格率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C53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829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E40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C38E">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86B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B6E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计划标准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DC2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FD3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按照完成比例赋分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C56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0FF8">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1BFA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D9FC">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5406">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22D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332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承办比赛技术设备购置政府采购率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AF0E">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5E9C">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6D2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41D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903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31C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计划标准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197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D5EE">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按照完成比例赋分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294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D6E1">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53A0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49E34">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91DBA">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DF9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时效指标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288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承办赛项按时完成率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34E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60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E29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852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67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F79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计划标准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416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E81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按照完成比例赋分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AAB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7E67">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3C6E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795A">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8052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成本指标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FA6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3002">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采购设备材料成本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8C2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D0B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≤5万元</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7C8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0A0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939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B08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预算支出标准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902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790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按照完成比例赋分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C492">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9221">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2B4B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B7F9D">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610E9">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8D7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C86C">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承办赛项宣传成本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D30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00C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≤10万元</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24A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F19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182E">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057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预算支出标准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A0CE">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C1C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按照完成比例赋分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C3EC">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80C1">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394C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3B64">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0D4F1">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6D6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经济成本指标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D60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人员经费保障成本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644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7F1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≤5万元</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613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B96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0B8E">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2D8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预算支出标准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550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CE08">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按照完成比例赋分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297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9B18">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1F18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D2512">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CC4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效益指标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881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669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职业技能水平提升人才数量</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969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B03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&gt;=50个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F74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1AA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BA2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518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计划标准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045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7F2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按照完成比例赋分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119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739D">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667B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1816A">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b/>
                <w:bCs/>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7EC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A4B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747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参赛选手满意度</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B629">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539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&gt;=95%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6BA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168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DBAB">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D72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计划标准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3D66">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305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满意度赋分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450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说明材料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018D">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r>
      <w:tr w14:paraId="3134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4233" w:type="dxa"/>
            <w:gridSpan w:val="4"/>
            <w:tcBorders>
              <w:top w:val="single" w:color="000000" w:sz="4" w:space="0"/>
              <w:left w:val="single" w:color="000000" w:sz="4" w:space="0"/>
              <w:bottom w:val="single" w:color="000000" w:sz="4" w:space="0"/>
              <w:right w:val="nil"/>
            </w:tcBorders>
            <w:shd w:val="clear" w:color="auto" w:fill="auto"/>
            <w:vAlign w:val="center"/>
          </w:tcPr>
          <w:p w14:paraId="4FD0038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75BD">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27" w:type="dxa"/>
            <w:tcBorders>
              <w:top w:val="single" w:color="000000" w:sz="4" w:space="0"/>
              <w:left w:val="nil"/>
              <w:bottom w:val="single" w:color="000000" w:sz="4" w:space="0"/>
              <w:right w:val="single" w:color="000000" w:sz="4" w:space="0"/>
            </w:tcBorders>
            <w:shd w:val="clear" w:color="auto" w:fill="auto"/>
            <w:vAlign w:val="center"/>
          </w:tcPr>
          <w:p w14:paraId="7DD3CAB4">
            <w:pPr>
              <w:keepNext w:val="0"/>
              <w:keepLines w:val="0"/>
              <w:pageBreakBefore w:val="0"/>
              <w:widowControl/>
              <w:kinsoku/>
              <w:wordWrap/>
              <w:overflowPunct/>
              <w:topLinePunct w:val="0"/>
              <w:autoSpaceDE/>
              <w:autoSpaceDN/>
              <w:bidi w:val="0"/>
              <w:adjustRightInd/>
              <w:snapToGrid/>
              <w:spacing w:before="0" w:beforeLines="0" w:after="0" w:afterLines="0" w:line="240" w:lineRule="exact"/>
              <w:rPr>
                <w:rFonts w:hint="default" w:ascii="Times New Roman" w:hAnsi="Times New Roman" w:eastAsia="宋体" w:cs="Times New Roman"/>
                <w:b/>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D7B5">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4BB7">
            <w:pPr>
              <w:keepNext w:val="0"/>
              <w:keepLines w:val="0"/>
              <w:pageBreakBefore w:val="0"/>
              <w:widowControl/>
              <w:kinsoku/>
              <w:wordWrap/>
              <w:overflowPunct/>
              <w:topLinePunct w:val="0"/>
              <w:autoSpaceDE/>
              <w:autoSpaceDN/>
              <w:bidi w:val="0"/>
              <w:adjustRightInd/>
              <w:snapToGrid/>
              <w:spacing w:before="0" w:beforeLines="0" w:after="0" w:afterLines="0" w:line="240" w:lineRule="exact"/>
              <w:jc w:val="center"/>
              <w:rPr>
                <w:rFonts w:hint="default" w:ascii="Times New Roman" w:hAnsi="Times New Roman" w:eastAsia="宋体" w:cs="Times New Roman"/>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2E6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90.00分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D0BE">
            <w:pPr>
              <w:keepNext w:val="0"/>
              <w:keepLines w:val="0"/>
              <w:pageBreakBefore w:val="0"/>
              <w:widowControl/>
              <w:kinsoku/>
              <w:wordWrap/>
              <w:overflowPunct/>
              <w:topLinePunct w:val="0"/>
              <w:autoSpaceDE/>
              <w:autoSpaceDN/>
              <w:bidi w:val="0"/>
              <w:adjustRightInd/>
              <w:snapToGrid/>
              <w:spacing w:before="0" w:beforeLines="0" w:after="0" w:afterLines="0" w:line="240" w:lineRule="exact"/>
              <w:rPr>
                <w:rFonts w:hint="default" w:ascii="Times New Roman" w:hAnsi="Times New Roman" w:eastAsia="宋体" w:cs="Times New Roman"/>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2EBE">
            <w:pPr>
              <w:keepNext w:val="0"/>
              <w:keepLines w:val="0"/>
              <w:pageBreakBefore w:val="0"/>
              <w:widowControl/>
              <w:kinsoku/>
              <w:wordWrap/>
              <w:overflowPunct/>
              <w:topLinePunct w:val="0"/>
              <w:autoSpaceDE/>
              <w:autoSpaceDN/>
              <w:bidi w:val="0"/>
              <w:adjustRightInd/>
              <w:snapToGrid/>
              <w:spacing w:before="0" w:beforeLines="0" w:after="0" w:afterLines="0" w:line="240" w:lineRule="exact"/>
              <w:rPr>
                <w:rFonts w:hint="default" w:ascii="Times New Roman" w:hAnsi="Times New Roman" w:eastAsia="宋体" w:cs="Times New Roman"/>
                <w:i w:val="0"/>
                <w:iCs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7448">
            <w:pPr>
              <w:keepNext w:val="0"/>
              <w:keepLines w:val="0"/>
              <w:pageBreakBefore w:val="0"/>
              <w:widowControl/>
              <w:kinsoku/>
              <w:wordWrap/>
              <w:overflowPunct/>
              <w:topLinePunct w:val="0"/>
              <w:autoSpaceDE/>
              <w:autoSpaceDN/>
              <w:bidi w:val="0"/>
              <w:adjustRightInd/>
              <w:snapToGrid/>
              <w:spacing w:before="0" w:beforeLines="0" w:after="0" w:afterLines="0" w:line="240" w:lineRule="exact"/>
              <w:rPr>
                <w:rFonts w:hint="default" w:ascii="Times New Roman" w:hAnsi="Times New Roman" w:eastAsia="宋体" w:cs="Times New Roman"/>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2B93">
            <w:pPr>
              <w:keepNext w:val="0"/>
              <w:keepLines w:val="0"/>
              <w:pageBreakBefore w:val="0"/>
              <w:widowControl/>
              <w:kinsoku/>
              <w:wordWrap/>
              <w:overflowPunct/>
              <w:topLinePunct w:val="0"/>
              <w:autoSpaceDE/>
              <w:autoSpaceDN/>
              <w:bidi w:val="0"/>
              <w:adjustRightInd/>
              <w:snapToGrid/>
              <w:spacing w:before="0" w:beforeLines="0" w:after="0" w:afterLines="0" w:line="240" w:lineRule="exact"/>
              <w:rPr>
                <w:rFonts w:hint="default" w:ascii="Times New Roman" w:hAnsi="Times New Roman" w:eastAsia="宋体" w:cs="Times New Roman"/>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815A">
            <w:pPr>
              <w:keepNext w:val="0"/>
              <w:keepLines w:val="0"/>
              <w:pageBreakBefore w:val="0"/>
              <w:widowControl/>
              <w:kinsoku/>
              <w:wordWrap/>
              <w:overflowPunct/>
              <w:topLinePunct w:val="0"/>
              <w:autoSpaceDE/>
              <w:autoSpaceDN/>
              <w:bidi w:val="0"/>
              <w:adjustRightInd/>
              <w:snapToGrid/>
              <w:spacing w:before="0" w:beforeLines="0" w:after="0" w:afterLines="0" w:line="240" w:lineRule="exact"/>
              <w:rPr>
                <w:rFonts w:hint="default" w:ascii="Times New Roman" w:hAnsi="Times New Roman" w:eastAsia="宋体" w:cs="Times New Roman"/>
                <w:i w:val="0"/>
                <w:iCs w:val="0"/>
                <w:color w:val="000000"/>
                <w:sz w:val="18"/>
                <w:szCs w:val="18"/>
                <w:u w:val="none"/>
              </w:rPr>
            </w:pPr>
          </w:p>
        </w:tc>
      </w:tr>
    </w:tbl>
    <w:p w14:paraId="35DCA7F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b w:val="0"/>
          <w:sz w:val="32"/>
          <w:szCs w:val="32"/>
        </w:rPr>
        <w:sectPr>
          <w:pgSz w:w="15840" w:h="12240" w:orient="landscape"/>
          <w:pgMar w:top="1800" w:right="1440" w:bottom="1800" w:left="1440" w:header="720" w:footer="720" w:gutter="0"/>
          <w:cols w:space="720" w:num="1"/>
        </w:sectPr>
      </w:pPr>
    </w:p>
    <w:p w14:paraId="0B346A1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第三部分 专业名词解释</w:t>
      </w:r>
    </w:p>
    <w:p w14:paraId="45A9AD8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b w:val="0"/>
          <w:sz w:val="32"/>
          <w:szCs w:val="32"/>
        </w:rPr>
        <w:t>指同级财政当年拨付的资金。</w:t>
      </w:r>
    </w:p>
    <w:p w14:paraId="79B9ECF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二、上级补助收入：</w:t>
      </w:r>
      <w:r>
        <w:rPr>
          <w:rFonts w:hint="default" w:ascii="Times New Roman" w:hAnsi="Times New Roman" w:eastAsia="仿宋_GB2312" w:cs="Times New Roman"/>
          <w:b w:val="0"/>
          <w:sz w:val="32"/>
          <w:szCs w:val="32"/>
        </w:rPr>
        <w:t>指事业单位从主管部门和上级单位取得的非财政补助收入。</w:t>
      </w:r>
    </w:p>
    <w:p w14:paraId="4C52306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三、事业收入：</w:t>
      </w:r>
      <w:r>
        <w:rPr>
          <w:rFonts w:hint="default" w:ascii="Times New Roman" w:hAnsi="Times New Roman" w:eastAsia="仿宋_GB2312" w:cs="Times New Roman"/>
          <w:b w:val="0"/>
          <w:sz w:val="32"/>
          <w:szCs w:val="32"/>
        </w:rPr>
        <w:t>指事业单位开展专业业务活动及其辅助活动所取得的收入。</w:t>
      </w:r>
    </w:p>
    <w:p w14:paraId="3F14D7C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四、经营收入：</w:t>
      </w:r>
      <w:r>
        <w:rPr>
          <w:rFonts w:hint="default" w:ascii="Times New Roman" w:hAnsi="Times New Roman" w:eastAsia="仿宋_GB2312" w:cs="Times New Roman"/>
          <w:b w:val="0"/>
          <w:sz w:val="32"/>
          <w:szCs w:val="32"/>
        </w:rPr>
        <w:t>指事业单位在专业业务活动及其辅助活动之外开展非独立核算经营活动取得的收入。</w:t>
      </w:r>
    </w:p>
    <w:p w14:paraId="418FC7D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b w:val="0"/>
          <w:sz w:val="32"/>
          <w:szCs w:val="32"/>
        </w:rPr>
        <w:t>指事业单位附属的独立核算单位按有关规定上缴的收入。</w:t>
      </w:r>
    </w:p>
    <w:p w14:paraId="6AA504A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六、其他收入：</w:t>
      </w:r>
      <w:r>
        <w:rPr>
          <w:rFonts w:hint="default" w:ascii="Times New Roman" w:hAnsi="Times New Roman" w:eastAsia="仿宋_GB2312" w:cs="Times New Roman"/>
          <w:b w:val="0"/>
          <w:sz w:val="32"/>
          <w:szCs w:val="32"/>
        </w:rPr>
        <w:t>指除上述“财政拨款收入”、“事业收入”、“经营收入”、“附属单位上缴收入”等之外取得的收入。</w:t>
      </w:r>
    </w:p>
    <w:p w14:paraId="6509439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七、年初结转和结余：</w:t>
      </w:r>
      <w:r>
        <w:rPr>
          <w:rFonts w:hint="default" w:ascii="Times New Roman" w:hAnsi="Times New Roman" w:eastAsia="仿宋_GB2312" w:cs="Times New Roman"/>
          <w:b w:val="0"/>
          <w:sz w:val="32"/>
          <w:szCs w:val="32"/>
        </w:rPr>
        <w:t>指以前年度支出预算因客观条件变化未执行完毕、结转到本年度按有关规定继续使用的资金，既包括财政拨款结转和结余，也包括事业收入、经营收入、其他收入的结转和结余。</w:t>
      </w:r>
    </w:p>
    <w:p w14:paraId="310F6B3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八、年末结转和结余：</w:t>
      </w:r>
      <w:r>
        <w:rPr>
          <w:rFonts w:hint="default" w:ascii="Times New Roman" w:hAnsi="Times New Roman" w:eastAsia="仿宋_GB2312" w:cs="Times New Roman"/>
          <w:b w:val="0"/>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2B7047F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九、基本支出：</w:t>
      </w:r>
      <w:r>
        <w:rPr>
          <w:rFonts w:hint="default" w:ascii="Times New Roman" w:hAnsi="Times New Roman" w:eastAsia="仿宋_GB2312" w:cs="Times New Roman"/>
          <w:b w:val="0"/>
          <w:sz w:val="32"/>
          <w:szCs w:val="32"/>
        </w:rPr>
        <w:t>指为保障机构正常运转、完成日常工作任务而发生的人员支出和公用支出。</w:t>
      </w:r>
    </w:p>
    <w:p w14:paraId="689FDFC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十、项目支出：</w:t>
      </w:r>
      <w:r>
        <w:rPr>
          <w:rFonts w:hint="default" w:ascii="Times New Roman" w:hAnsi="Times New Roman" w:eastAsia="仿宋_GB2312" w:cs="Times New Roman"/>
          <w:b w:val="0"/>
          <w:sz w:val="32"/>
          <w:szCs w:val="32"/>
        </w:rPr>
        <w:t>指在基本支出之外为完成特定行政任务和事业发展目标所发生的支出。</w:t>
      </w:r>
    </w:p>
    <w:p w14:paraId="2AC3D844">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十一、经营支出：</w:t>
      </w:r>
      <w:r>
        <w:rPr>
          <w:rFonts w:hint="default" w:ascii="Times New Roman" w:hAnsi="Times New Roman" w:eastAsia="仿宋_GB2312" w:cs="Times New Roman"/>
          <w:b w:val="0"/>
          <w:sz w:val="32"/>
          <w:szCs w:val="32"/>
        </w:rPr>
        <w:t>指事业单位在专业业务活动及其辅助活动之外开展非独立核算经营活动发生的支出。</w:t>
      </w:r>
    </w:p>
    <w:p w14:paraId="76ED54D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十二、对附属单位补助支出：</w:t>
      </w:r>
      <w:r>
        <w:rPr>
          <w:rFonts w:hint="default" w:ascii="Times New Roman" w:hAnsi="Times New Roman" w:eastAsia="仿宋_GB2312" w:cs="Times New Roman"/>
          <w:b w:val="0"/>
          <w:sz w:val="32"/>
          <w:szCs w:val="32"/>
        </w:rPr>
        <w:t>指事业单位发生的用非财政预算资金对附属单位的补助支出。</w:t>
      </w:r>
    </w:p>
    <w:p w14:paraId="274E013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十三、“三公”经费：</w:t>
      </w:r>
      <w:r>
        <w:rPr>
          <w:rFonts w:hint="default" w:ascii="Times New Roman" w:hAnsi="Times New Roman" w:eastAsia="仿宋_GB2312" w:cs="Times New Roman"/>
          <w:b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C02893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十四、机关运行经费：</w:t>
      </w:r>
      <w:r>
        <w:rPr>
          <w:rFonts w:hint="default" w:ascii="Times New Roman" w:hAnsi="Times New Roman" w:eastAsia="仿宋_GB2312" w:cs="Times New Roman"/>
          <w:b w:val="0"/>
          <w:sz w:val="32"/>
          <w:szCs w:val="32"/>
        </w:rPr>
        <w:t>行政单位和参照公务员法管理的事业单位财政拨款基本支出中的公用经费支出。</w:t>
      </w:r>
    </w:p>
    <w:p w14:paraId="7A707016">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cs="Times New Roman"/>
        </w:rPr>
      </w:pPr>
      <w:r>
        <w:rPr>
          <w:rFonts w:hint="default" w:ascii="Times New Roman" w:hAnsi="Times New Roman" w:cs="Times New Roman"/>
          <w:b w:val="0"/>
          <w:sz w:val="0"/>
          <w:szCs w:val="0"/>
        </w:rPr>
        <w:br w:type="page"/>
      </w:r>
    </w:p>
    <w:p w14:paraId="42C7E64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b w:val="0"/>
          <w:sz w:val="32"/>
          <w:szCs w:val="32"/>
        </w:rPr>
        <w:t>第四部分 部门决算报表（见附表）</w:t>
      </w:r>
    </w:p>
    <w:p w14:paraId="5001191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一、《收入支出决算总表》</w:t>
      </w:r>
    </w:p>
    <w:p w14:paraId="1EF83DB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二、《收入决算表》</w:t>
      </w:r>
    </w:p>
    <w:p w14:paraId="5A1C2C8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三、《支出决算表》</w:t>
      </w:r>
    </w:p>
    <w:p w14:paraId="1E2C4C9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四、《财政拨款收入支出决算总表》</w:t>
      </w:r>
    </w:p>
    <w:p w14:paraId="0DFB18E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五、《一般公共预算财政拨款支出决算表》</w:t>
      </w:r>
    </w:p>
    <w:p w14:paraId="262B7E8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六、《一般公共预算财政拨款基本支出决算表》</w:t>
      </w:r>
    </w:p>
    <w:p w14:paraId="6EDB80F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七、《政府性基金预算财政拨款收入支出决算表》</w:t>
      </w:r>
    </w:p>
    <w:p w14:paraId="4C4F659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八、《国有资本经营预算财政拨款收入支出决算表》</w:t>
      </w:r>
    </w:p>
    <w:p w14:paraId="025A62DF">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sz w:val="32"/>
          <w:szCs w:val="32"/>
        </w:rPr>
        <w:t>九、《财政拨款“三公”经费支出决算表》</w:t>
      </w:r>
    </w:p>
    <w:sectPr>
      <w:type w:val="continuous"/>
      <w:pgSz w:w="12240" w:h="15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7452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581E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8581E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GQ2MTVhOWZhYmJmMjQwNDBiNWQ2YzdkMGUwYzYifQ=="/>
  </w:docVars>
  <w:rsids>
    <w:rsidRoot w:val="00000000"/>
    <w:rsid w:val="01453F6C"/>
    <w:rsid w:val="076369A2"/>
    <w:rsid w:val="0ECD3075"/>
    <w:rsid w:val="0F1B4006"/>
    <w:rsid w:val="17CD7710"/>
    <w:rsid w:val="265E1D64"/>
    <w:rsid w:val="2A8C2CA2"/>
    <w:rsid w:val="2E933F64"/>
    <w:rsid w:val="34F07218"/>
    <w:rsid w:val="36062A6B"/>
    <w:rsid w:val="390B4420"/>
    <w:rsid w:val="433230F1"/>
    <w:rsid w:val="48A10800"/>
    <w:rsid w:val="4EB47064"/>
    <w:rsid w:val="56102E1E"/>
    <w:rsid w:val="595D6AA9"/>
    <w:rsid w:val="628F12C0"/>
    <w:rsid w:val="69105352"/>
    <w:rsid w:val="69792E41"/>
    <w:rsid w:val="6B2C62C4"/>
    <w:rsid w:val="6F2D4425"/>
    <w:rsid w:val="6F5F01E5"/>
    <w:rsid w:val="6F9B4F7A"/>
    <w:rsid w:val="78273BF5"/>
    <w:rsid w:val="789E3E62"/>
    <w:rsid w:val="7F973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link w:val="17"/>
    <w:unhideWhenUsed/>
    <w:qFormat/>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3">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link w:val="9"/>
    <w:qFormat/>
    <w:uiPriority w:val="99"/>
  </w:style>
  <w:style w:type="character" w:customStyle="1" w:styleId="18">
    <w:name w:val="Heading 1 Char"/>
    <w:basedOn w:val="1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1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14"/>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14"/>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14"/>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14"/>
    <w:link w:val="11"/>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4068</Words>
  <Characters>4711</Characters>
  <TotalTime>117</TotalTime>
  <ScaleCrop>false</ScaleCrop>
  <LinksUpToDate>false</LinksUpToDate>
  <CharactersWithSpaces>4719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2024-12-31T06:55:00Z</dcterms:created>
  <dc:creator>Service center</dc:creator>
  <cp:lastModifiedBy>╰ 好姑娘 光芒万丈</cp:lastModifiedBy>
  <cp:lastPrinted>2025-08-28T08:33:00Z</cp:lastPrinted>
  <dcterms:modified xsi:type="dcterms:W3CDTF">2025-08-28T10:18:57Z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2DB8BCE70F12446B8589A2454F329424_13</vt:lpwstr>
  </property>
  <property fmtid="{D5CDD505-2E9C-101B-9397-08002B2CF9AE}" pid="4" name="KSOTemplateDocerSaveRecord">
    <vt:lpwstr>eyJoZGlkIjoiODIzNzdkZTc4OGZlOTBiYWMyZmRhMDhmNGY5NTM2MjMiLCJ1c2VySWQiOiIyMzU3NjU1NDEifQ==</vt:lpwstr>
  </property>
</Properties>
</file>