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E7" w:rsidRDefault="002B73E7">
      <w:pPr>
        <w:spacing w:after="0" w:line="240" w:lineRule="auto"/>
        <w:rPr>
          <w:rFonts w:ascii="宋体" w:eastAsia="宋体"/>
          <w:sz w:val="32"/>
          <w:szCs w:val="32"/>
        </w:rPr>
      </w:pPr>
    </w:p>
    <w:p w:rsidR="002B73E7" w:rsidRDefault="002B73E7">
      <w:pPr>
        <w:spacing w:after="0" w:line="240" w:lineRule="auto"/>
        <w:rPr>
          <w:rFonts w:ascii="宋体" w:eastAsia="宋体"/>
          <w:sz w:val="44"/>
          <w:szCs w:val="44"/>
        </w:rPr>
      </w:pPr>
    </w:p>
    <w:p w:rsidR="002B73E7" w:rsidRDefault="002B73E7">
      <w:pPr>
        <w:spacing w:after="0" w:line="240" w:lineRule="auto"/>
        <w:rPr>
          <w:rFonts w:ascii="宋体" w:eastAsia="宋体"/>
          <w:sz w:val="44"/>
          <w:szCs w:val="44"/>
        </w:rPr>
      </w:pPr>
    </w:p>
    <w:p w:rsidR="002B73E7" w:rsidRDefault="002B73E7">
      <w:pPr>
        <w:spacing w:after="0" w:line="240" w:lineRule="auto"/>
        <w:rPr>
          <w:rFonts w:ascii="宋体" w:eastAsia="宋体"/>
          <w:sz w:val="44"/>
          <w:szCs w:val="44"/>
        </w:rPr>
      </w:pPr>
    </w:p>
    <w:p w:rsidR="002B73E7" w:rsidRPr="009D3026" w:rsidRDefault="0043464A" w:rsidP="00B553EC">
      <w:pPr>
        <w:spacing w:after="0" w:line="240" w:lineRule="auto"/>
        <w:jc w:val="center"/>
        <w:outlineLvl w:val="0"/>
        <w:rPr>
          <w:rFonts w:ascii="方正小标宋_GBK" w:eastAsia="方正小标宋_GBK" w:hAnsi="宋体" w:cs="Times New Roman"/>
          <w:kern w:val="2"/>
          <w:sz w:val="44"/>
          <w:szCs w:val="44"/>
          <w:lang w:eastAsia="zh-CN"/>
        </w:rPr>
      </w:pPr>
      <w:r w:rsidRPr="009D3026">
        <w:rPr>
          <w:rFonts w:ascii="方正小标宋_GBK" w:eastAsia="方正小标宋_GBK" w:hAnsi="宋体" w:cs="Times New Roman"/>
          <w:kern w:val="2"/>
          <w:sz w:val="44"/>
          <w:szCs w:val="44"/>
          <w:lang w:eastAsia="zh-CN"/>
        </w:rPr>
        <w:t>新疆维吾尔自治区商务厅机关服务中心</w:t>
      </w:r>
    </w:p>
    <w:p w:rsidR="002B73E7" w:rsidRPr="009D3026" w:rsidRDefault="0043464A" w:rsidP="00B553EC">
      <w:pPr>
        <w:spacing w:after="0" w:line="240" w:lineRule="auto"/>
        <w:jc w:val="center"/>
        <w:outlineLvl w:val="0"/>
        <w:rPr>
          <w:rFonts w:ascii="方正小标宋_GBK" w:eastAsia="方正小标宋_GBK" w:hAnsi="宋体" w:cs="Times New Roman"/>
          <w:kern w:val="2"/>
          <w:sz w:val="44"/>
          <w:szCs w:val="44"/>
          <w:lang w:eastAsia="zh-CN"/>
        </w:rPr>
      </w:pPr>
      <w:r w:rsidRPr="009D3026">
        <w:rPr>
          <w:rFonts w:ascii="方正小标宋_GBK" w:eastAsia="方正小标宋_GBK" w:hAnsi="宋体" w:cs="Times New Roman"/>
          <w:kern w:val="2"/>
          <w:sz w:val="44"/>
          <w:szCs w:val="44"/>
          <w:lang w:eastAsia="zh-CN"/>
        </w:rPr>
        <w:t>2024年度部门决算公开说明</w:t>
      </w:r>
    </w:p>
    <w:p w:rsidR="002B73E7" w:rsidRDefault="0043464A">
      <w:pPr>
        <w:rPr>
          <w:lang w:eastAsia="zh-CN"/>
        </w:rPr>
      </w:pPr>
      <w:r>
        <w:rPr>
          <w:sz w:val="0"/>
          <w:szCs w:val="0"/>
          <w:lang w:eastAsia="zh-CN"/>
        </w:rPr>
        <w:br w:type="page"/>
      </w:r>
    </w:p>
    <w:p w:rsidR="002B73E7" w:rsidRDefault="0043464A">
      <w:pPr>
        <w:widowControl w:val="0"/>
        <w:spacing w:after="0" w:line="240" w:lineRule="auto"/>
        <w:jc w:val="center"/>
        <w:rPr>
          <w:rFonts w:ascii="仿宋_GB2312" w:eastAsia="仿宋_GB2312" w:hAnsi="仿宋_GB2312" w:cs="仿宋_GB2312"/>
          <w:b/>
          <w:sz w:val="36"/>
          <w:szCs w:val="36"/>
          <w:lang w:eastAsia="zh-CN"/>
        </w:rPr>
      </w:pPr>
      <w:r>
        <w:rPr>
          <w:rFonts w:ascii="仿宋_GB2312" w:eastAsia="仿宋_GB2312" w:hAnsi="仿宋_GB2312" w:cs="仿宋_GB2312"/>
          <w:b/>
          <w:sz w:val="36"/>
          <w:szCs w:val="36"/>
          <w:lang w:eastAsia="zh-CN"/>
        </w:rPr>
        <w:lastRenderedPageBreak/>
        <w:t>目  录</w:t>
      </w:r>
    </w:p>
    <w:p w:rsidR="002B73E7" w:rsidRDefault="0043464A">
      <w:pPr>
        <w:spacing w:after="0" w:line="560" w:lineRule="exact"/>
        <w:rPr>
          <w:rFonts w:ascii="仿宋_GB2312" w:eastAsia="仿宋_GB2312"/>
          <w:sz w:val="32"/>
          <w:szCs w:val="32"/>
          <w:lang w:eastAsia="zh-CN"/>
        </w:rPr>
      </w:pPr>
      <w:r>
        <w:rPr>
          <w:rFonts w:ascii="仿宋_GB2312" w:eastAsia="仿宋_GB2312"/>
          <w:b/>
          <w:sz w:val="32"/>
          <w:szCs w:val="32"/>
          <w:lang w:eastAsia="zh-CN"/>
        </w:rPr>
        <w:t>第一部分单位概况</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一、主要职能</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二、机构设置及人员情况</w:t>
      </w:r>
    </w:p>
    <w:p w:rsidR="002B73E7" w:rsidRDefault="0043464A">
      <w:pPr>
        <w:spacing w:after="0" w:line="560" w:lineRule="exact"/>
        <w:rPr>
          <w:rFonts w:ascii="仿宋_GB2312" w:eastAsia="仿宋_GB2312"/>
          <w:sz w:val="32"/>
          <w:szCs w:val="32"/>
          <w:lang w:eastAsia="zh-CN"/>
        </w:rPr>
      </w:pPr>
      <w:r>
        <w:rPr>
          <w:rFonts w:ascii="仿宋_GB2312" w:eastAsia="仿宋_GB2312"/>
          <w:b/>
          <w:sz w:val="32"/>
          <w:szCs w:val="32"/>
          <w:lang w:eastAsia="zh-CN"/>
        </w:rPr>
        <w:t>第二部分 部门决算情况说明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一、收入支出决算总体情况说明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二、收入决算情况说明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三、支出决算情况说明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四、财政拨款收入支出决算总体情况说明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五、一般公共预算财政拨款支出决算情况说明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（一）一般公共预算财政拨款支出决算总体情况</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（二）一般公共预算财政拨款支出决算结构情况</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（三）一般公共预算财政拨款支出决算具体情况</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六、一般公共预算财政拨款基本支出决算情况说明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七、政府性基金预算财政拨款收入支出决算情况说明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八、国有资本经营预算财政拨款收入支出决算情况说明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九、财政拨款</w:t>
      </w:r>
      <w:r>
        <w:rPr>
          <w:rFonts w:ascii="仿宋_GB2312" w:eastAsia="仿宋_GB2312"/>
          <w:sz w:val="32"/>
          <w:szCs w:val="32"/>
          <w:lang w:eastAsia="zh-CN"/>
        </w:rPr>
        <w:t>“</w:t>
      </w:r>
      <w:r>
        <w:rPr>
          <w:rFonts w:ascii="仿宋_GB2312" w:eastAsia="仿宋_GB2312"/>
          <w:sz w:val="32"/>
          <w:szCs w:val="32"/>
          <w:lang w:eastAsia="zh-CN"/>
        </w:rPr>
        <w:t>三公</w:t>
      </w:r>
      <w:r>
        <w:rPr>
          <w:rFonts w:ascii="仿宋_GB2312" w:eastAsia="仿宋_GB2312"/>
          <w:sz w:val="32"/>
          <w:szCs w:val="32"/>
          <w:lang w:eastAsia="zh-CN"/>
        </w:rPr>
        <w:t>”</w:t>
      </w:r>
      <w:r>
        <w:rPr>
          <w:rFonts w:ascii="仿宋_GB2312" w:eastAsia="仿宋_GB2312"/>
          <w:sz w:val="32"/>
          <w:szCs w:val="32"/>
          <w:lang w:eastAsia="zh-CN"/>
        </w:rPr>
        <w:t>经费支出决算情况说明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十、其他重要事项的情况说明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（一）机关运行经费及公用经费支出情况</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（二）政府采购情况</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（三）国有资产占用情况说明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十一、预算绩效的情况说明</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十二、其他需说明的事项</w:t>
      </w:r>
    </w:p>
    <w:p w:rsidR="002B73E7" w:rsidRDefault="0043464A">
      <w:pPr>
        <w:spacing w:after="0" w:line="560" w:lineRule="exact"/>
        <w:rPr>
          <w:rFonts w:ascii="仿宋_GB2312" w:eastAsia="仿宋_GB2312"/>
          <w:sz w:val="32"/>
          <w:szCs w:val="32"/>
          <w:lang w:eastAsia="zh-CN"/>
        </w:rPr>
      </w:pPr>
      <w:r>
        <w:rPr>
          <w:rFonts w:ascii="仿宋_GB2312" w:eastAsia="仿宋_GB2312"/>
          <w:b/>
          <w:sz w:val="32"/>
          <w:szCs w:val="32"/>
          <w:lang w:eastAsia="zh-CN"/>
        </w:rPr>
        <w:lastRenderedPageBreak/>
        <w:t>第三部分 专业名词解释</w:t>
      </w:r>
    </w:p>
    <w:p w:rsidR="002B73E7" w:rsidRDefault="0043464A">
      <w:pPr>
        <w:spacing w:after="0" w:line="560" w:lineRule="exact"/>
        <w:rPr>
          <w:rFonts w:ascii="仿宋_GB2312" w:eastAsia="仿宋_GB2312"/>
          <w:sz w:val="32"/>
          <w:szCs w:val="32"/>
          <w:lang w:eastAsia="zh-CN"/>
        </w:rPr>
      </w:pPr>
      <w:r>
        <w:rPr>
          <w:rFonts w:ascii="仿宋_GB2312" w:eastAsia="仿宋_GB2312"/>
          <w:b/>
          <w:sz w:val="32"/>
          <w:szCs w:val="32"/>
          <w:lang w:eastAsia="zh-CN"/>
        </w:rPr>
        <w:t>第四部分 部门决算报表（见附表）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一、《收入支出决算总表》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二、《收入决算表》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三、《支出决算表》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四、《财政拨款收入支出决算总表》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五、《一般公共预算财政拨款支出决算表》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六、《一般公共预算财政拨款基本支出决算表》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七、《政府性基金预算财政拨款收入支出决算表》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八、《国有资本经营预算财政拨款收入支出决算表》</w:t>
      </w:r>
    </w:p>
    <w:p w:rsidR="002B73E7" w:rsidRDefault="0043464A">
      <w:pPr>
        <w:spacing w:after="0" w:line="560" w:lineRule="exact"/>
        <w:rPr>
          <w:rFonts w:ascii="仿宋_GB2312" w:eastAsia="仿宋_GB2312"/>
          <w:sz w:val="32"/>
          <w:szCs w:val="32"/>
          <w:lang w:eastAsia="zh-CN"/>
        </w:rPr>
      </w:pPr>
      <w:r>
        <w:rPr>
          <w:rFonts w:ascii="仿宋_GB2312" w:eastAsia="仿宋_GB2312"/>
          <w:sz w:val="32"/>
          <w:szCs w:val="32"/>
          <w:lang w:eastAsia="zh-CN"/>
        </w:rPr>
        <w:t>九、《财政拨款</w:t>
      </w:r>
      <w:r>
        <w:rPr>
          <w:rFonts w:ascii="仿宋_GB2312" w:eastAsia="仿宋_GB2312"/>
          <w:sz w:val="32"/>
          <w:szCs w:val="32"/>
          <w:lang w:eastAsia="zh-CN"/>
        </w:rPr>
        <w:t>“</w:t>
      </w:r>
      <w:r>
        <w:rPr>
          <w:rFonts w:ascii="仿宋_GB2312" w:eastAsia="仿宋_GB2312"/>
          <w:sz w:val="32"/>
          <w:szCs w:val="32"/>
          <w:lang w:eastAsia="zh-CN"/>
        </w:rPr>
        <w:t>三公</w:t>
      </w:r>
      <w:r>
        <w:rPr>
          <w:rFonts w:ascii="仿宋_GB2312" w:eastAsia="仿宋_GB2312"/>
          <w:sz w:val="32"/>
          <w:szCs w:val="32"/>
          <w:lang w:eastAsia="zh-CN"/>
        </w:rPr>
        <w:t>”</w:t>
      </w:r>
      <w:r>
        <w:rPr>
          <w:rFonts w:ascii="仿宋_GB2312" w:eastAsia="仿宋_GB2312"/>
          <w:sz w:val="32"/>
          <w:szCs w:val="32"/>
          <w:lang w:eastAsia="zh-CN"/>
        </w:rPr>
        <w:t>经费支出决算表》</w:t>
      </w:r>
    </w:p>
    <w:p w:rsidR="002B73E7" w:rsidRDefault="0043464A">
      <w:pPr>
        <w:spacing w:line="560" w:lineRule="exact"/>
        <w:rPr>
          <w:lang w:eastAsia="zh-CN"/>
        </w:rPr>
      </w:pPr>
      <w:r>
        <w:rPr>
          <w:sz w:val="0"/>
          <w:szCs w:val="0"/>
          <w:lang w:eastAsia="zh-CN"/>
        </w:rPr>
        <w:br w:type="page"/>
      </w:r>
    </w:p>
    <w:p w:rsidR="002B73E7" w:rsidRDefault="0043464A">
      <w:pPr>
        <w:spacing w:after="0" w:line="560" w:lineRule="exact"/>
        <w:ind w:firstLineChars="200" w:firstLine="640"/>
        <w:jc w:val="center"/>
        <w:outlineLvl w:val="0"/>
        <w:rPr>
          <w:rFonts w:ascii="黑体" w:eastAsia="黑体"/>
          <w:sz w:val="32"/>
          <w:szCs w:val="32"/>
          <w:lang w:eastAsia="zh-CN"/>
        </w:rPr>
      </w:pPr>
      <w:r>
        <w:rPr>
          <w:rFonts w:ascii="黑体" w:eastAsia="黑体"/>
          <w:sz w:val="32"/>
          <w:szCs w:val="32"/>
          <w:lang w:eastAsia="zh-CN"/>
        </w:rPr>
        <w:lastRenderedPageBreak/>
        <w:t>第一部分</w:t>
      </w:r>
      <w:r>
        <w:rPr>
          <w:rFonts w:ascii="黑体" w:eastAsia="黑体"/>
          <w:sz w:val="32"/>
          <w:szCs w:val="32"/>
          <w:lang w:eastAsia="zh-CN"/>
        </w:rPr>
        <w:t> </w:t>
      </w:r>
      <w:r>
        <w:rPr>
          <w:rFonts w:ascii="黑体" w:eastAsia="黑体"/>
          <w:sz w:val="32"/>
          <w:szCs w:val="32"/>
          <w:lang w:eastAsia="zh-CN"/>
        </w:rPr>
        <w:t>单位概况</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 </w:t>
      </w:r>
      <w:r>
        <w:rPr>
          <w:rFonts w:ascii="黑体" w:eastAsia="黑体"/>
          <w:sz w:val="32"/>
          <w:szCs w:val="32"/>
          <w:lang w:eastAsia="zh-CN"/>
        </w:rPr>
        <w:t>一、主要职能</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主要负责机关办公服务、机关后勤生活服务、水电</w:t>
      </w:r>
      <w:proofErr w:type="gramStart"/>
      <w:r>
        <w:rPr>
          <w:rFonts w:ascii="仿宋_GB2312" w:eastAsia="仿宋_GB2312"/>
          <w:sz w:val="32"/>
          <w:szCs w:val="32"/>
          <w:lang w:eastAsia="zh-CN"/>
        </w:rPr>
        <w:t>暖维护</w:t>
      </w:r>
      <w:proofErr w:type="gramEnd"/>
      <w:r>
        <w:rPr>
          <w:rFonts w:ascii="仿宋_GB2312" w:eastAsia="仿宋_GB2312"/>
          <w:sz w:val="32"/>
          <w:szCs w:val="32"/>
          <w:lang w:eastAsia="zh-CN"/>
        </w:rPr>
        <w:t>修理服务、</w:t>
      </w:r>
      <w:r w:rsidR="00D34B7D" w:rsidRPr="00D34B7D">
        <w:rPr>
          <w:rFonts w:ascii="仿宋_GB2312" w:eastAsia="仿宋_GB2312" w:hint="eastAsia"/>
          <w:sz w:val="32"/>
          <w:szCs w:val="32"/>
          <w:lang w:eastAsia="zh-CN"/>
        </w:rPr>
        <w:t>医疗卫生服务、幼儿保教保育服务、</w:t>
      </w:r>
      <w:r>
        <w:rPr>
          <w:rFonts w:ascii="仿宋_GB2312" w:eastAsia="仿宋_GB2312"/>
          <w:sz w:val="32"/>
          <w:szCs w:val="32"/>
          <w:lang w:eastAsia="zh-CN"/>
        </w:rPr>
        <w:t>接待、车辆保障、会展服务（相关社会服务）、办公楼管理、承办机关委托事项及相关社会服务。</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二、机构设置及人员情况</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新疆维吾尔自治区商务厅机关服务中心2024年度，实有人数168人，其中：在职人员57人，减少5人；离休人员0人，较上年无变化；退休人员111人，增加4人。</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新疆维吾尔自治区商务厅机关服务中心无下属预算单位，下设6个科室，分别是：办公室、财务科、资产科、管理科、车队、交流中心。</w:t>
      </w:r>
    </w:p>
    <w:p w:rsidR="002B73E7" w:rsidRDefault="0043464A" w:rsidP="00765611">
      <w:pPr>
        <w:spacing w:line="560" w:lineRule="exact"/>
        <w:ind w:firstLineChars="200" w:firstLine="20"/>
        <w:rPr>
          <w:lang w:eastAsia="zh-CN"/>
        </w:rPr>
      </w:pPr>
      <w:r>
        <w:rPr>
          <w:sz w:val="0"/>
          <w:szCs w:val="0"/>
          <w:lang w:eastAsia="zh-CN"/>
        </w:rPr>
        <w:br w:type="page"/>
      </w:r>
    </w:p>
    <w:p w:rsidR="002B73E7" w:rsidRDefault="0043464A">
      <w:pPr>
        <w:spacing w:after="0" w:line="560" w:lineRule="exact"/>
        <w:ind w:firstLineChars="200" w:firstLine="640"/>
        <w:jc w:val="center"/>
        <w:outlineLvl w:val="0"/>
        <w:rPr>
          <w:rFonts w:ascii="黑体" w:eastAsia="黑体"/>
          <w:sz w:val="32"/>
          <w:szCs w:val="32"/>
          <w:lang w:eastAsia="zh-CN"/>
        </w:rPr>
      </w:pPr>
      <w:r>
        <w:rPr>
          <w:rFonts w:ascii="黑体" w:eastAsia="黑体"/>
          <w:sz w:val="32"/>
          <w:szCs w:val="32"/>
          <w:lang w:eastAsia="zh-CN"/>
        </w:rPr>
        <w:lastRenderedPageBreak/>
        <w:t>第二部分 部门决算情况说明</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一、收入支出决算总体情况说明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2024年度收入总计1,306.41万元，其中：本年收入合计1,306.41万元，使用非财政拨款结余（含专用结余）0.00万元，年初结转和结余0.00万元。</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2024年度支出总计1,306.41万元，其中：本年支出合计1,306.41万元，结余分配0.00万元，年末结转和结余0.00万元。</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收入支出总体与上年相比，减少36.50万元，下降2.72%，主要原因是：一是我单位房租收入较上年有所减少；二是在职职工退休5人，支出相应减少。</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二、收入决算情况说明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本年收入1,306.41万元，其中：财政拨款收入685.35万元,占52.46%；上级补助收入0.00万元,占0.00%；事业收入0.00万元，占0.00%；经营收入0.00万元,占0.00%；附属单位上缴收入0.00万元，占0.00%；其他收入621.07万元，占47.54%。</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三、支出决算情况说明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本年支出1,306.41万元，其中：基本支出681.41万元，占52.16%；项目支出625.00万元，占47.84%；上缴上级支出0.00万元，占0.00%；经营支出0.00万元，占0.00%；对附属单位补助支出0.00万元，占0.00%。</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lastRenderedPageBreak/>
        <w:t>四、财政拨款收入支出决算总体情况说明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2024年度财政拨款收入总计685.35万元，其中：年初财政拨款结转和结余0.00万元，本年财政拨款收入685.35万元。财政拨款支出总计685.35万元，其中：年末财政拨款结转和结余0.00万元，本年财政拨款支出685.35万元。</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财政拨款收入支出总体与上年相比，减少323.23万元，下降32.05%，主要原因是：</w:t>
      </w:r>
      <w:r>
        <w:rPr>
          <w:rFonts w:ascii="仿宋_GB2312" w:eastAsia="仿宋_GB2312" w:hint="eastAsia"/>
          <w:sz w:val="32"/>
          <w:szCs w:val="32"/>
          <w:lang w:eastAsia="zh-CN"/>
        </w:rPr>
        <w:t>根据新财</w:t>
      </w:r>
      <w:proofErr w:type="gramStart"/>
      <w:r>
        <w:rPr>
          <w:rFonts w:ascii="仿宋_GB2312" w:eastAsia="仿宋_GB2312" w:hint="eastAsia"/>
          <w:sz w:val="32"/>
          <w:szCs w:val="32"/>
          <w:lang w:eastAsia="zh-CN"/>
        </w:rPr>
        <w:t>规</w:t>
      </w:r>
      <w:proofErr w:type="gramEnd"/>
      <w:r>
        <w:rPr>
          <w:rFonts w:ascii="仿宋_GB2312" w:eastAsia="仿宋_GB2312" w:hint="eastAsia"/>
          <w:sz w:val="32"/>
          <w:szCs w:val="32"/>
          <w:lang w:eastAsia="zh-CN"/>
        </w:rPr>
        <w:t>〔2023〕7号文，事业单位房租收入不再上缴财政，纳入单位预算管理，用于单位经费支出，因此财政拨款相应减少</w:t>
      </w:r>
      <w:r>
        <w:rPr>
          <w:rFonts w:ascii="仿宋_GB2312" w:eastAsia="仿宋_GB2312"/>
          <w:sz w:val="32"/>
          <w:szCs w:val="32"/>
          <w:lang w:eastAsia="zh-CN"/>
        </w:rPr>
        <w:t>。与年初预算相比，年初预算数657.96万元，决算数685.35万元，预决算差异率4.16%，主要原因是：财政追加全额拨款职工基本工资、绩效奖金及职业年金。</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五、一般公共预算财政拨款支出决算情况说明</w:t>
      </w:r>
    </w:p>
    <w:p w:rsidR="002B73E7" w:rsidRDefault="0043464A">
      <w:pPr>
        <w:spacing w:after="0" w:line="560" w:lineRule="exact"/>
        <w:ind w:firstLineChars="200" w:firstLine="640"/>
        <w:outlineLvl w:val="2"/>
        <w:rPr>
          <w:rFonts w:ascii="黑体" w:eastAsia="黑体"/>
          <w:sz w:val="32"/>
          <w:szCs w:val="32"/>
          <w:lang w:eastAsia="zh-CN"/>
        </w:rPr>
      </w:pPr>
      <w:r>
        <w:rPr>
          <w:rFonts w:ascii="黑体" w:eastAsia="黑体"/>
          <w:sz w:val="32"/>
          <w:szCs w:val="32"/>
          <w:lang w:eastAsia="zh-CN"/>
        </w:rPr>
        <w:t>（一）一般公共预算财政拨款支出决算总体情况</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2024年度一般公共预算财政拨款支出685.35万元，占本年支出合计的52.46%。与上年相比，减少323.23万元，下降32.05%，主要原因是：</w:t>
      </w:r>
      <w:r>
        <w:rPr>
          <w:rFonts w:ascii="仿宋_GB2312" w:eastAsia="仿宋_GB2312" w:hint="eastAsia"/>
          <w:sz w:val="32"/>
          <w:szCs w:val="32"/>
          <w:lang w:eastAsia="zh-CN"/>
        </w:rPr>
        <w:t>根据新财</w:t>
      </w:r>
      <w:proofErr w:type="gramStart"/>
      <w:r>
        <w:rPr>
          <w:rFonts w:ascii="仿宋_GB2312" w:eastAsia="仿宋_GB2312" w:hint="eastAsia"/>
          <w:sz w:val="32"/>
          <w:szCs w:val="32"/>
          <w:lang w:eastAsia="zh-CN"/>
        </w:rPr>
        <w:t>规</w:t>
      </w:r>
      <w:proofErr w:type="gramEnd"/>
      <w:r>
        <w:rPr>
          <w:rFonts w:ascii="仿宋_GB2312" w:eastAsia="仿宋_GB2312" w:hint="eastAsia"/>
          <w:sz w:val="32"/>
          <w:szCs w:val="32"/>
          <w:lang w:eastAsia="zh-CN"/>
        </w:rPr>
        <w:t>〔2023〕7号文，事业单位房租收入不再上缴财政，纳入单位预算管理，用于单位经费支出，因此财政拨款支出较上年有所减少</w:t>
      </w:r>
      <w:r>
        <w:rPr>
          <w:rFonts w:ascii="仿宋_GB2312" w:eastAsia="仿宋_GB2312"/>
          <w:sz w:val="32"/>
          <w:szCs w:val="32"/>
          <w:lang w:eastAsia="zh-CN"/>
        </w:rPr>
        <w:t>。与年初预算相比，年初预算数657.96万元，决算数685.35万元，预决算差异率4.16%，主要原因是：全额拨款职工基本工资、绩效奖金及职业年金有所增加。</w:t>
      </w:r>
    </w:p>
    <w:p w:rsidR="002B73E7" w:rsidRDefault="0043464A">
      <w:pPr>
        <w:spacing w:after="0" w:line="560" w:lineRule="exact"/>
        <w:ind w:firstLineChars="200" w:firstLine="640"/>
        <w:outlineLvl w:val="2"/>
        <w:rPr>
          <w:rFonts w:ascii="黑体" w:eastAsia="黑体"/>
          <w:sz w:val="32"/>
          <w:szCs w:val="32"/>
          <w:lang w:eastAsia="zh-CN"/>
        </w:rPr>
      </w:pPr>
      <w:r>
        <w:rPr>
          <w:rFonts w:ascii="黑体" w:eastAsia="黑体"/>
          <w:sz w:val="32"/>
          <w:szCs w:val="32"/>
          <w:lang w:eastAsia="zh-CN"/>
        </w:rPr>
        <w:lastRenderedPageBreak/>
        <w:t>（二）一般公共预算财政拨款支出决算结构情况</w:t>
      </w:r>
    </w:p>
    <w:p w:rsidR="002B73E7" w:rsidRDefault="005F66EA">
      <w:pPr>
        <w:spacing w:after="0"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sidR="0043464A">
        <w:rPr>
          <w:rFonts w:ascii="仿宋_GB2312" w:eastAsia="仿宋_GB2312"/>
          <w:sz w:val="32"/>
          <w:szCs w:val="32"/>
          <w:lang w:eastAsia="zh-CN"/>
        </w:rPr>
        <w:t>一般公共服务支出（类）479.51万元，占69.97%。</w:t>
      </w:r>
    </w:p>
    <w:p w:rsidR="002B73E7" w:rsidRDefault="005F66EA">
      <w:pPr>
        <w:spacing w:after="0"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sidR="0043464A">
        <w:rPr>
          <w:rFonts w:ascii="仿宋_GB2312" w:eastAsia="仿宋_GB2312"/>
          <w:sz w:val="32"/>
          <w:szCs w:val="32"/>
          <w:lang w:eastAsia="zh-CN"/>
        </w:rPr>
        <w:t>社会保障和就业支出（类）129.23万元，占18.86%。</w:t>
      </w:r>
    </w:p>
    <w:p w:rsidR="002B73E7" w:rsidRDefault="005F66EA">
      <w:pPr>
        <w:spacing w:after="0"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sidR="0043464A">
        <w:rPr>
          <w:rFonts w:ascii="仿宋_GB2312" w:eastAsia="仿宋_GB2312"/>
          <w:sz w:val="32"/>
          <w:szCs w:val="32"/>
          <w:lang w:eastAsia="zh-CN"/>
        </w:rPr>
        <w:t>卫生健康支出（类）41.92万元，占6.12%。</w:t>
      </w:r>
    </w:p>
    <w:p w:rsidR="002B73E7" w:rsidRDefault="005F66EA">
      <w:pPr>
        <w:spacing w:after="0"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sidR="0043464A">
        <w:rPr>
          <w:rFonts w:ascii="仿宋_GB2312" w:eastAsia="仿宋_GB2312"/>
          <w:sz w:val="32"/>
          <w:szCs w:val="32"/>
          <w:lang w:eastAsia="zh-CN"/>
        </w:rPr>
        <w:t>住房保障支出（类）34.69万元，占5.06%。</w:t>
      </w:r>
    </w:p>
    <w:p w:rsidR="002B73E7" w:rsidRDefault="0043464A">
      <w:pPr>
        <w:spacing w:after="0" w:line="560" w:lineRule="exact"/>
        <w:ind w:firstLineChars="200" w:firstLine="640"/>
        <w:outlineLvl w:val="2"/>
        <w:rPr>
          <w:rFonts w:ascii="黑体" w:eastAsia="黑体"/>
          <w:sz w:val="32"/>
          <w:szCs w:val="32"/>
          <w:lang w:eastAsia="zh-CN"/>
        </w:rPr>
      </w:pPr>
      <w:r>
        <w:rPr>
          <w:rFonts w:ascii="黑体" w:eastAsia="黑体"/>
          <w:sz w:val="32"/>
          <w:szCs w:val="32"/>
          <w:lang w:eastAsia="zh-CN"/>
        </w:rPr>
        <w:t>（三）一般公共预算财政拨款支出决算具体情况</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1</w:t>
      </w:r>
      <w:r w:rsidR="005F66EA">
        <w:rPr>
          <w:rFonts w:ascii="仿宋_GB2312" w:eastAsia="仿宋_GB2312" w:hint="eastAsia"/>
          <w:sz w:val="32"/>
          <w:szCs w:val="32"/>
          <w:lang w:eastAsia="zh-CN"/>
        </w:rPr>
        <w:t>.</w:t>
      </w:r>
      <w:r>
        <w:rPr>
          <w:rFonts w:ascii="仿宋_GB2312" w:eastAsia="仿宋_GB2312"/>
          <w:sz w:val="32"/>
          <w:szCs w:val="32"/>
          <w:lang w:eastAsia="zh-CN"/>
        </w:rPr>
        <w:t>一般公共服务支出（类）商贸事务（款）机关服务（项）：支出决算数为479.51万元，比上年决算减少327.96万元，下降40.62%，主要原因是：</w:t>
      </w:r>
      <w:r>
        <w:rPr>
          <w:rFonts w:ascii="仿宋_GB2312" w:eastAsia="仿宋_GB2312" w:hint="eastAsia"/>
          <w:sz w:val="32"/>
          <w:szCs w:val="32"/>
          <w:lang w:eastAsia="zh-CN"/>
        </w:rPr>
        <w:t>根据新财</w:t>
      </w:r>
      <w:proofErr w:type="gramStart"/>
      <w:r>
        <w:rPr>
          <w:rFonts w:ascii="仿宋_GB2312" w:eastAsia="仿宋_GB2312" w:hint="eastAsia"/>
          <w:sz w:val="32"/>
          <w:szCs w:val="32"/>
          <w:lang w:eastAsia="zh-CN"/>
        </w:rPr>
        <w:t>规</w:t>
      </w:r>
      <w:proofErr w:type="gramEnd"/>
      <w:r>
        <w:rPr>
          <w:rFonts w:ascii="仿宋_GB2312" w:eastAsia="仿宋_GB2312" w:hint="eastAsia"/>
          <w:sz w:val="32"/>
          <w:szCs w:val="32"/>
          <w:lang w:eastAsia="zh-CN"/>
        </w:rPr>
        <w:t>〔2023〕7号文，事业单位房租收入不再上缴财政，纳入单位预算管理，用于单位经费支出，因此财政拨款</w:t>
      </w:r>
      <w:r>
        <w:rPr>
          <w:rFonts w:ascii="仿宋_GB2312" w:eastAsia="仿宋_GB2312"/>
          <w:sz w:val="32"/>
          <w:szCs w:val="32"/>
          <w:lang w:eastAsia="zh-CN"/>
        </w:rPr>
        <w:t>支出较上年有所减少。</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w:t>
      </w:r>
      <w:r w:rsidR="005F66EA">
        <w:rPr>
          <w:rFonts w:ascii="仿宋_GB2312" w:eastAsia="仿宋_GB2312" w:hint="eastAsia"/>
          <w:sz w:val="32"/>
          <w:szCs w:val="32"/>
          <w:lang w:eastAsia="zh-CN"/>
        </w:rPr>
        <w:t>.</w:t>
      </w:r>
      <w:r>
        <w:rPr>
          <w:rFonts w:ascii="仿宋_GB2312" w:eastAsia="仿宋_GB2312"/>
          <w:sz w:val="32"/>
          <w:szCs w:val="32"/>
          <w:lang w:eastAsia="zh-CN"/>
        </w:rPr>
        <w:t>社会保障和就业支出（类）行政事业单位养老支出（款）事业单位离退休（项）：支出决算数为69.74万元，比上年决算增加6.96万元，增长11.09%，主要原因是：退休</w:t>
      </w:r>
      <w:r w:rsidR="00B553EC">
        <w:rPr>
          <w:rFonts w:ascii="仿宋_GB2312" w:eastAsia="仿宋_GB2312" w:hint="eastAsia"/>
          <w:sz w:val="32"/>
          <w:szCs w:val="32"/>
          <w:lang w:eastAsia="zh-CN"/>
        </w:rPr>
        <w:t>人员</w:t>
      </w:r>
      <w:r w:rsidR="00B553EC">
        <w:rPr>
          <w:rFonts w:ascii="仿宋_GB2312" w:eastAsia="仿宋_GB2312"/>
          <w:sz w:val="32"/>
          <w:szCs w:val="32"/>
          <w:lang w:eastAsia="zh-CN"/>
        </w:rPr>
        <w:t>基础</w:t>
      </w:r>
      <w:proofErr w:type="gramStart"/>
      <w:r>
        <w:rPr>
          <w:rFonts w:ascii="仿宋_GB2312" w:eastAsia="仿宋_GB2312"/>
          <w:sz w:val="32"/>
          <w:szCs w:val="32"/>
          <w:lang w:eastAsia="zh-CN"/>
        </w:rPr>
        <w:t>绩效奖</w:t>
      </w:r>
      <w:proofErr w:type="gramEnd"/>
      <w:r>
        <w:rPr>
          <w:rFonts w:ascii="仿宋_GB2312" w:eastAsia="仿宋_GB2312"/>
          <w:sz w:val="32"/>
          <w:szCs w:val="32"/>
          <w:lang w:eastAsia="zh-CN"/>
        </w:rPr>
        <w:t>增加。</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3</w:t>
      </w:r>
      <w:r w:rsidR="005F66EA">
        <w:rPr>
          <w:rFonts w:ascii="仿宋_GB2312" w:eastAsia="仿宋_GB2312" w:hint="eastAsia"/>
          <w:sz w:val="32"/>
          <w:szCs w:val="32"/>
          <w:lang w:eastAsia="zh-CN"/>
        </w:rPr>
        <w:t>.</w:t>
      </w:r>
      <w:r>
        <w:rPr>
          <w:rFonts w:ascii="仿宋_GB2312" w:eastAsia="仿宋_GB2312"/>
          <w:sz w:val="32"/>
          <w:szCs w:val="32"/>
          <w:lang w:eastAsia="zh-CN"/>
        </w:rPr>
        <w:t>社会保障和就业支出（类）行政事业单位养老支出（款）机关事业单位基本养老保险缴费支出（项）：支出决算数为46.25万元，比上年决算增加3.77万元，增长8.87%，主要原因是：职工</w:t>
      </w:r>
      <w:r w:rsidR="00D8282F">
        <w:rPr>
          <w:rFonts w:ascii="仿宋_GB2312" w:eastAsia="仿宋_GB2312" w:hint="eastAsia"/>
          <w:sz w:val="32"/>
          <w:szCs w:val="32"/>
          <w:lang w:eastAsia="zh-CN"/>
        </w:rPr>
        <w:t>工资</w:t>
      </w:r>
      <w:bookmarkStart w:id="0" w:name="OLE_LINK1"/>
      <w:bookmarkStart w:id="1" w:name="OLE_LINK2"/>
      <w:r w:rsidR="00D8282F">
        <w:rPr>
          <w:rFonts w:ascii="仿宋_GB2312" w:eastAsia="仿宋_GB2312" w:hint="eastAsia"/>
          <w:sz w:val="32"/>
          <w:szCs w:val="32"/>
          <w:lang w:eastAsia="zh-CN"/>
        </w:rPr>
        <w:t>调增</w:t>
      </w:r>
      <w:bookmarkEnd w:id="0"/>
      <w:bookmarkEnd w:id="1"/>
      <w:r>
        <w:rPr>
          <w:rFonts w:ascii="仿宋_GB2312" w:eastAsia="仿宋_GB2312"/>
          <w:sz w:val="32"/>
          <w:szCs w:val="32"/>
          <w:lang w:eastAsia="zh-CN"/>
        </w:rPr>
        <w:t>，基本养老保险缴费基数增加。</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4</w:t>
      </w:r>
      <w:r w:rsidR="005F66EA">
        <w:rPr>
          <w:rFonts w:ascii="仿宋_GB2312" w:eastAsia="仿宋_GB2312" w:hint="eastAsia"/>
          <w:sz w:val="32"/>
          <w:szCs w:val="32"/>
          <w:lang w:eastAsia="zh-CN"/>
        </w:rPr>
        <w:t>.</w:t>
      </w:r>
      <w:r>
        <w:rPr>
          <w:rFonts w:ascii="仿宋_GB2312" w:eastAsia="仿宋_GB2312"/>
          <w:sz w:val="32"/>
          <w:szCs w:val="32"/>
          <w:lang w:eastAsia="zh-CN"/>
        </w:rPr>
        <w:t>社会保障和就业支出（类）行政事业单位养老支出（款）机关事业单位职业年金缴费支出（项）：支出决算数为13.24万元，比上年决算减少12.26万元，下降48.08%，主要原因</w:t>
      </w:r>
      <w:r>
        <w:rPr>
          <w:rFonts w:ascii="仿宋_GB2312" w:eastAsia="仿宋_GB2312"/>
          <w:sz w:val="32"/>
          <w:szCs w:val="32"/>
          <w:lang w:eastAsia="zh-CN"/>
        </w:rPr>
        <w:lastRenderedPageBreak/>
        <w:t>是：2023年财政追加2名退休人员职业年金，本年追加1名退休人员职业年金，因此支出较上年有所减少。</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5</w:t>
      </w:r>
      <w:r w:rsidR="005F66EA">
        <w:rPr>
          <w:rFonts w:ascii="仿宋_GB2312" w:eastAsia="仿宋_GB2312" w:hint="eastAsia"/>
          <w:sz w:val="32"/>
          <w:szCs w:val="32"/>
          <w:lang w:eastAsia="zh-CN"/>
        </w:rPr>
        <w:t>.</w:t>
      </w:r>
      <w:r>
        <w:rPr>
          <w:rFonts w:ascii="仿宋_GB2312" w:eastAsia="仿宋_GB2312"/>
          <w:sz w:val="32"/>
          <w:szCs w:val="32"/>
          <w:lang w:eastAsia="zh-CN"/>
        </w:rPr>
        <w:t>卫生健康支出（类）行政事业单位医疗（款）事业单位医疗（项）：支出决算数为21.68万元，比上年决算增加1.77万元，增长8.89%，主要原因是：职工工资</w:t>
      </w:r>
      <w:r w:rsidR="00D8282F">
        <w:rPr>
          <w:rFonts w:ascii="仿宋_GB2312" w:eastAsia="仿宋_GB2312" w:hint="eastAsia"/>
          <w:sz w:val="32"/>
          <w:szCs w:val="32"/>
          <w:lang w:eastAsia="zh-CN"/>
        </w:rPr>
        <w:t>调增</w:t>
      </w:r>
      <w:r>
        <w:rPr>
          <w:rFonts w:ascii="仿宋_GB2312" w:eastAsia="仿宋_GB2312"/>
          <w:sz w:val="32"/>
          <w:szCs w:val="32"/>
          <w:lang w:eastAsia="zh-CN"/>
        </w:rPr>
        <w:t>，事业单位医疗缴费基数增加。</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6</w:t>
      </w:r>
      <w:r w:rsidR="005F66EA">
        <w:rPr>
          <w:rFonts w:ascii="仿宋_GB2312" w:eastAsia="仿宋_GB2312" w:hint="eastAsia"/>
          <w:sz w:val="32"/>
          <w:szCs w:val="32"/>
          <w:lang w:eastAsia="zh-CN"/>
        </w:rPr>
        <w:t>.</w:t>
      </w:r>
      <w:r>
        <w:rPr>
          <w:rFonts w:ascii="仿宋_GB2312" w:eastAsia="仿宋_GB2312"/>
          <w:sz w:val="32"/>
          <w:szCs w:val="32"/>
          <w:lang w:eastAsia="zh-CN"/>
        </w:rPr>
        <w:t>卫生健康支出（类）行政事业单位医疗（款）公务员医疗补助（项）：支出决算数为20.24万元，比上年决算增加1.66万元，增长8.93%，主要原因是：职工工资</w:t>
      </w:r>
      <w:r w:rsidR="005F53CA">
        <w:rPr>
          <w:rFonts w:ascii="仿宋_GB2312" w:eastAsia="仿宋_GB2312" w:hint="eastAsia"/>
          <w:sz w:val="32"/>
          <w:szCs w:val="32"/>
          <w:lang w:eastAsia="zh-CN"/>
        </w:rPr>
        <w:t>调增</w:t>
      </w:r>
      <w:r>
        <w:rPr>
          <w:rFonts w:ascii="仿宋_GB2312" w:eastAsia="仿宋_GB2312"/>
          <w:sz w:val="32"/>
          <w:szCs w:val="32"/>
          <w:lang w:eastAsia="zh-CN"/>
        </w:rPr>
        <w:t>，公务员医疗补助缴费基数增加。</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7</w:t>
      </w:r>
      <w:r w:rsidR="005F66EA">
        <w:rPr>
          <w:rFonts w:ascii="仿宋_GB2312" w:eastAsia="仿宋_GB2312" w:hint="eastAsia"/>
          <w:sz w:val="32"/>
          <w:szCs w:val="32"/>
          <w:lang w:eastAsia="zh-CN"/>
        </w:rPr>
        <w:t>.</w:t>
      </w:r>
      <w:r>
        <w:rPr>
          <w:rFonts w:ascii="仿宋_GB2312" w:eastAsia="仿宋_GB2312"/>
          <w:sz w:val="32"/>
          <w:szCs w:val="32"/>
          <w:lang w:eastAsia="zh-CN"/>
        </w:rPr>
        <w:t>住房保障支出（类）住房改革支出（款）住房公积金（项）：支出决算数为34.69万元，比上年决算增加2.83万元，增长8.88%，主要原因是：职工工资</w:t>
      </w:r>
      <w:r w:rsidR="00A63F6D">
        <w:rPr>
          <w:rFonts w:ascii="仿宋_GB2312" w:eastAsia="仿宋_GB2312" w:hint="eastAsia"/>
          <w:sz w:val="32"/>
          <w:szCs w:val="32"/>
          <w:lang w:eastAsia="zh-CN"/>
        </w:rPr>
        <w:t>调增</w:t>
      </w:r>
      <w:r>
        <w:rPr>
          <w:rFonts w:ascii="仿宋_GB2312" w:eastAsia="仿宋_GB2312"/>
          <w:sz w:val="32"/>
          <w:szCs w:val="32"/>
          <w:lang w:eastAsia="zh-CN"/>
        </w:rPr>
        <w:t>，住房公积金缴费基数增加。</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六、一般公共预算财政拨款基本支出决算情况说明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一般公共预算财政拨款基本支出555.35万元，其中：人员经费529.14万元，包括：基本工资、津贴补贴、奖金、绩效工资、机关事业单位基本养老保险缴费、职业年金缴费、职工基本医疗保险缴费、公务员医疗补助缴费、其他社会保障缴费、住房公积金、退休费和其他对个人和家庭的补助。</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公用经费26.20万元，包括：水费、电费、邮电费、取暖费、工会经费、福利费、其他交通费用和其他商品和服务支出。</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lastRenderedPageBreak/>
        <w:t>七、政府性基金预算财政拨款收入支出决算情况说明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本单位本年度无政府性基金预算财政拨款收入、支出及结转和结余，政府性基金预算财政拨款收入支出决算表为空表。</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八、国有资本经营预算财政拨款收入支出决算情况说明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本单位本年度无国有资本经营预算财政拨款收入、支出及结转和结余，国有资本经营预算财政拨款收入支出决算表为空表。</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九、财政拨款</w:t>
      </w:r>
      <w:r>
        <w:rPr>
          <w:rFonts w:ascii="黑体" w:eastAsia="黑体"/>
          <w:sz w:val="32"/>
          <w:szCs w:val="32"/>
          <w:lang w:eastAsia="zh-CN"/>
        </w:rPr>
        <w:t>“</w:t>
      </w:r>
      <w:r>
        <w:rPr>
          <w:rFonts w:ascii="黑体" w:eastAsia="黑体"/>
          <w:sz w:val="32"/>
          <w:szCs w:val="32"/>
          <w:lang w:eastAsia="zh-CN"/>
        </w:rPr>
        <w:t>三公</w:t>
      </w:r>
      <w:r>
        <w:rPr>
          <w:rFonts w:ascii="黑体" w:eastAsia="黑体"/>
          <w:sz w:val="32"/>
          <w:szCs w:val="32"/>
          <w:lang w:eastAsia="zh-CN"/>
        </w:rPr>
        <w:t>”</w:t>
      </w:r>
      <w:r>
        <w:rPr>
          <w:rFonts w:ascii="黑体" w:eastAsia="黑体"/>
          <w:sz w:val="32"/>
          <w:szCs w:val="32"/>
          <w:lang w:eastAsia="zh-CN"/>
        </w:rPr>
        <w:t>经费支出决算情况说明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2024年度财政拨款</w:t>
      </w:r>
      <w:r>
        <w:rPr>
          <w:rFonts w:ascii="仿宋_GB2312" w:eastAsia="仿宋_GB2312"/>
          <w:sz w:val="32"/>
          <w:szCs w:val="32"/>
          <w:lang w:eastAsia="zh-CN"/>
        </w:rPr>
        <w:t>“</w:t>
      </w:r>
      <w:r>
        <w:rPr>
          <w:rFonts w:ascii="仿宋_GB2312" w:eastAsia="仿宋_GB2312"/>
          <w:sz w:val="32"/>
          <w:szCs w:val="32"/>
          <w:lang w:eastAsia="zh-CN"/>
        </w:rPr>
        <w:t>三公</w:t>
      </w:r>
      <w:r>
        <w:rPr>
          <w:rFonts w:ascii="仿宋_GB2312" w:eastAsia="仿宋_GB2312"/>
          <w:sz w:val="32"/>
          <w:szCs w:val="32"/>
          <w:lang w:eastAsia="zh-CN"/>
        </w:rPr>
        <w:t>”</w:t>
      </w:r>
      <w:r>
        <w:rPr>
          <w:rFonts w:ascii="仿宋_GB2312" w:eastAsia="仿宋_GB2312"/>
          <w:sz w:val="32"/>
          <w:szCs w:val="32"/>
          <w:lang w:eastAsia="zh-CN"/>
        </w:rPr>
        <w:t>经费支出0.00万元，与上年相比无变化，主要原因是：我单位无财政拨款</w:t>
      </w:r>
      <w:r>
        <w:rPr>
          <w:rFonts w:ascii="仿宋_GB2312" w:eastAsia="仿宋_GB2312"/>
          <w:sz w:val="32"/>
          <w:szCs w:val="32"/>
          <w:lang w:eastAsia="zh-CN"/>
        </w:rPr>
        <w:t>“</w:t>
      </w:r>
      <w:r>
        <w:rPr>
          <w:rFonts w:ascii="仿宋_GB2312" w:eastAsia="仿宋_GB2312"/>
          <w:sz w:val="32"/>
          <w:szCs w:val="32"/>
          <w:lang w:eastAsia="zh-CN"/>
        </w:rPr>
        <w:t>三公</w:t>
      </w:r>
      <w:r>
        <w:rPr>
          <w:rFonts w:ascii="仿宋_GB2312" w:eastAsia="仿宋_GB2312"/>
          <w:sz w:val="32"/>
          <w:szCs w:val="32"/>
          <w:lang w:eastAsia="zh-CN"/>
        </w:rPr>
        <w:t>”</w:t>
      </w:r>
      <w:r>
        <w:rPr>
          <w:rFonts w:ascii="仿宋_GB2312" w:eastAsia="仿宋_GB2312"/>
          <w:sz w:val="32"/>
          <w:szCs w:val="32"/>
          <w:lang w:eastAsia="zh-CN"/>
        </w:rPr>
        <w:t>经费支出。其中：因公出国（境）费支出0.00万元,占0.00%，与上年相比无变化，主要原因是：我单位无因公出国（境）费；公务用车购置及运行维护费支出0.00万元，占0.00%，与上年相比无变化，主要原因是：我单位无公务用车购置及运行维护费；公务接待费支出0.00万元，占0.00%，与上年相比无变化，主要原因是：我单位无公务接待费。</w:t>
      </w:r>
    </w:p>
    <w:p w:rsidR="002B73E7" w:rsidRDefault="0043464A">
      <w:pPr>
        <w:spacing w:after="0" w:line="560" w:lineRule="exact"/>
        <w:ind w:firstLineChars="200" w:firstLine="640"/>
        <w:rPr>
          <w:rFonts w:ascii="仿宋_GB2312" w:eastAsia="仿宋_GB2312"/>
          <w:sz w:val="32"/>
          <w:szCs w:val="32"/>
          <w:lang w:eastAsia="zh-CN"/>
        </w:rPr>
      </w:pPr>
      <w:r>
        <w:rPr>
          <w:rFonts w:ascii="仿宋_GB2312" w:eastAsia="仿宋_GB2312"/>
          <w:sz w:val="32"/>
          <w:szCs w:val="32"/>
          <w:lang w:eastAsia="zh-CN"/>
        </w:rPr>
        <w:t>具体情况如下：</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因公出国（境）费支出0.00万元，开支内容包括我单位无因公出国（境）费。单位全年安排的因公出国（境）团组0个，因公出国（境）0人次。</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公务用车购置及运行维护费0.00万元，其中：公务用车购置费0.00万元，公务用车运行维护费0.00万元。公务用车</w:t>
      </w:r>
      <w:r>
        <w:rPr>
          <w:rFonts w:ascii="仿宋_GB2312" w:eastAsia="仿宋_GB2312"/>
          <w:sz w:val="32"/>
          <w:szCs w:val="32"/>
          <w:lang w:eastAsia="zh-CN"/>
        </w:rPr>
        <w:lastRenderedPageBreak/>
        <w:t>运行维护费开支内容包括我单位无公务用车运行维护费。公务用车购置数0辆，公务用车保有量0辆。国有资产占用情况中固定资产车辆6辆，与公务用车保有量差异原因是：我单位共有其他用车6辆，主要是一般业务用车，经费支出来源于单位资金，预算未安排公务用车运行维护费。</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公务接待费0.00万元，开支内容包括我单位无公务接待费。单位全年安排的国内公务接待0批次，0人次。</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与全年预算相比，财政拨款</w:t>
      </w:r>
      <w:r>
        <w:rPr>
          <w:rFonts w:ascii="仿宋_GB2312" w:eastAsia="仿宋_GB2312"/>
          <w:sz w:val="32"/>
          <w:szCs w:val="32"/>
          <w:lang w:eastAsia="zh-CN"/>
        </w:rPr>
        <w:t>“</w:t>
      </w:r>
      <w:r>
        <w:rPr>
          <w:rFonts w:ascii="仿宋_GB2312" w:eastAsia="仿宋_GB2312"/>
          <w:sz w:val="32"/>
          <w:szCs w:val="32"/>
          <w:lang w:eastAsia="zh-CN"/>
        </w:rPr>
        <w:t>三公</w:t>
      </w:r>
      <w:r>
        <w:rPr>
          <w:rFonts w:ascii="仿宋_GB2312" w:eastAsia="仿宋_GB2312"/>
          <w:sz w:val="32"/>
          <w:szCs w:val="32"/>
          <w:lang w:eastAsia="zh-CN"/>
        </w:rPr>
        <w:t>”</w:t>
      </w:r>
      <w:r>
        <w:rPr>
          <w:rFonts w:ascii="仿宋_GB2312" w:eastAsia="仿宋_GB2312"/>
          <w:sz w:val="32"/>
          <w:szCs w:val="32"/>
          <w:lang w:eastAsia="zh-CN"/>
        </w:rPr>
        <w:t>经费支出全年预算数0.00万元，决算数0.00万元，预决算差异率0.00%，主要原因是：我单位无财政拨款</w:t>
      </w:r>
      <w:r>
        <w:rPr>
          <w:rFonts w:ascii="仿宋_GB2312" w:eastAsia="仿宋_GB2312"/>
          <w:sz w:val="32"/>
          <w:szCs w:val="32"/>
          <w:lang w:eastAsia="zh-CN"/>
        </w:rPr>
        <w:t>“</w:t>
      </w:r>
      <w:r>
        <w:rPr>
          <w:rFonts w:ascii="仿宋_GB2312" w:eastAsia="仿宋_GB2312"/>
          <w:sz w:val="32"/>
          <w:szCs w:val="32"/>
          <w:lang w:eastAsia="zh-CN"/>
        </w:rPr>
        <w:t>三公</w:t>
      </w:r>
      <w:r>
        <w:rPr>
          <w:rFonts w:ascii="仿宋_GB2312" w:eastAsia="仿宋_GB2312"/>
          <w:sz w:val="32"/>
          <w:szCs w:val="32"/>
          <w:lang w:eastAsia="zh-CN"/>
        </w:rPr>
        <w:t>”</w:t>
      </w:r>
      <w:r>
        <w:rPr>
          <w:rFonts w:ascii="仿宋_GB2312" w:eastAsia="仿宋_GB2312"/>
          <w:sz w:val="32"/>
          <w:szCs w:val="32"/>
          <w:lang w:eastAsia="zh-CN"/>
        </w:rPr>
        <w:t>经费支出。其中：因公出国（境）费全年预算数0.00万元，决算数0.00万元，预决算差异率0.00%，主要原因是：我单位无因公出国（境）费；公务用车购置费全年预算数0.00万元，决算数0.00万元，预决算差异率0.00%，主要原因是：我单位无公务用车购置费；公务用车运行维护费全年预算数0.00万元，决算数0.00万元，预决算差异率0.00%，主要原因是：我单位无公务用车运行维护费；公务接待费全年预算数0.00万元，决算数0.00万元，预决算差异率0.00%，主要原因是：我单位无公务接待费。</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十、其他重要事项的情况说明</w:t>
      </w:r>
    </w:p>
    <w:p w:rsidR="002B73E7" w:rsidRDefault="0043464A">
      <w:pPr>
        <w:spacing w:after="0" w:line="560" w:lineRule="exact"/>
        <w:ind w:firstLineChars="200" w:firstLine="640"/>
        <w:outlineLvl w:val="2"/>
        <w:rPr>
          <w:rFonts w:ascii="黑体" w:eastAsia="黑体"/>
          <w:sz w:val="32"/>
          <w:szCs w:val="32"/>
          <w:lang w:eastAsia="zh-CN"/>
        </w:rPr>
      </w:pPr>
      <w:r>
        <w:rPr>
          <w:rFonts w:ascii="黑体" w:eastAsia="黑体"/>
          <w:sz w:val="32"/>
          <w:szCs w:val="32"/>
          <w:lang w:eastAsia="zh-CN"/>
        </w:rPr>
        <w:t>（一）机关运行经费及公用经费支出情况</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2024年度新疆维吾尔自治区商务厅机关服务中心单位</w:t>
      </w:r>
      <w:r>
        <w:rPr>
          <w:rFonts w:ascii="仿宋_GB2312" w:eastAsia="仿宋_GB2312"/>
          <w:sz w:val="32"/>
          <w:szCs w:val="32"/>
          <w:lang w:eastAsia="zh-CN"/>
        </w:rPr>
        <w:t>​</w:t>
      </w:r>
      <w:r>
        <w:rPr>
          <w:rFonts w:ascii="仿宋_GB2312" w:eastAsia="仿宋_GB2312"/>
          <w:sz w:val="32"/>
          <w:szCs w:val="32"/>
          <w:lang w:eastAsia="zh-CN"/>
        </w:rPr>
        <w:t>（事业单位）公用经费支出26.20万元，比上年增加0.95万</w:t>
      </w:r>
      <w:r>
        <w:rPr>
          <w:rFonts w:ascii="仿宋_GB2312" w:eastAsia="仿宋_GB2312"/>
          <w:sz w:val="32"/>
          <w:szCs w:val="32"/>
          <w:lang w:eastAsia="zh-CN"/>
        </w:rPr>
        <w:lastRenderedPageBreak/>
        <w:t>元，增长3.76%，主要原因是：我单</w:t>
      </w:r>
      <w:bookmarkStart w:id="2" w:name="_GoBack"/>
      <w:bookmarkEnd w:id="2"/>
      <w:r>
        <w:rPr>
          <w:rFonts w:ascii="仿宋_GB2312" w:eastAsia="仿宋_GB2312"/>
          <w:sz w:val="32"/>
          <w:szCs w:val="32"/>
          <w:lang w:eastAsia="zh-CN"/>
        </w:rPr>
        <w:t>位2024年</w:t>
      </w:r>
      <w:r w:rsidR="00AB7C30">
        <w:rPr>
          <w:rFonts w:ascii="仿宋_GB2312" w:eastAsia="仿宋_GB2312"/>
          <w:sz w:val="32"/>
          <w:szCs w:val="32"/>
          <w:lang w:eastAsia="zh-CN"/>
        </w:rPr>
        <w:t>增加一辆业务用车，</w:t>
      </w:r>
      <w:r>
        <w:rPr>
          <w:rFonts w:ascii="仿宋_GB2312" w:eastAsia="仿宋_GB2312"/>
          <w:sz w:val="32"/>
          <w:szCs w:val="32"/>
          <w:lang w:eastAsia="zh-CN"/>
        </w:rPr>
        <w:t>财政拨款增加了其他交通费用，因此公用经费支出较上年有所增加。</w:t>
      </w:r>
    </w:p>
    <w:p w:rsidR="002B73E7" w:rsidRDefault="0043464A">
      <w:pPr>
        <w:spacing w:after="0" w:line="560" w:lineRule="exact"/>
        <w:ind w:firstLineChars="200" w:firstLine="640"/>
        <w:outlineLvl w:val="2"/>
        <w:rPr>
          <w:rFonts w:ascii="黑体" w:eastAsia="黑体"/>
          <w:sz w:val="32"/>
          <w:szCs w:val="32"/>
          <w:lang w:eastAsia="zh-CN"/>
        </w:rPr>
      </w:pPr>
      <w:r>
        <w:rPr>
          <w:rFonts w:ascii="黑体" w:eastAsia="黑体"/>
          <w:sz w:val="32"/>
          <w:szCs w:val="32"/>
          <w:lang w:eastAsia="zh-CN"/>
        </w:rPr>
        <w:t>（二）政府采购情况</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2024年度政府采购支出总额17.94万元，其中：政府采购货物支出11.59万元、政府采购工程支出0.00万元、政府采购服务支出6.35万元。</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授予中小企业合同金额16.74万元，占政府采购支出总额的93.31%，其中：授予小</w:t>
      </w:r>
      <w:proofErr w:type="gramStart"/>
      <w:r>
        <w:rPr>
          <w:rFonts w:ascii="仿宋_GB2312" w:eastAsia="仿宋_GB2312"/>
          <w:sz w:val="32"/>
          <w:szCs w:val="32"/>
          <w:lang w:eastAsia="zh-CN"/>
        </w:rPr>
        <w:t>微企业</w:t>
      </w:r>
      <w:proofErr w:type="gramEnd"/>
      <w:r>
        <w:rPr>
          <w:rFonts w:ascii="仿宋_GB2312" w:eastAsia="仿宋_GB2312"/>
          <w:sz w:val="32"/>
          <w:szCs w:val="32"/>
          <w:lang w:eastAsia="zh-CN"/>
        </w:rPr>
        <w:t>合同金额16.74万元，占政府采购支出总额的93.31%。</w:t>
      </w:r>
    </w:p>
    <w:p w:rsidR="002B73E7" w:rsidRDefault="0043464A">
      <w:pPr>
        <w:spacing w:after="0" w:line="560" w:lineRule="exact"/>
        <w:ind w:firstLineChars="200" w:firstLine="640"/>
        <w:outlineLvl w:val="2"/>
        <w:rPr>
          <w:rFonts w:ascii="黑体" w:eastAsia="黑体"/>
          <w:sz w:val="32"/>
          <w:szCs w:val="32"/>
          <w:lang w:eastAsia="zh-CN"/>
        </w:rPr>
      </w:pPr>
      <w:r>
        <w:rPr>
          <w:rFonts w:ascii="黑体" w:eastAsia="黑体"/>
          <w:sz w:val="32"/>
          <w:szCs w:val="32"/>
          <w:lang w:eastAsia="zh-CN"/>
        </w:rPr>
        <w:t>（三）国有资产占用情况说明</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rPr>
        <w:t>截至2024年12月31日，房屋4</w:t>
      </w:r>
      <w:proofErr w:type="gramStart"/>
      <w:r>
        <w:rPr>
          <w:rFonts w:ascii="仿宋_GB2312" w:eastAsia="仿宋_GB2312"/>
          <w:sz w:val="32"/>
          <w:szCs w:val="32"/>
        </w:rPr>
        <w:t>,943.36平方米</w:t>
      </w:r>
      <w:proofErr w:type="gramEnd"/>
      <w:r>
        <w:rPr>
          <w:rFonts w:ascii="仿宋_GB2312" w:eastAsia="仿宋_GB2312"/>
          <w:sz w:val="32"/>
          <w:szCs w:val="32"/>
        </w:rPr>
        <w:t>，价值968.08万元。</w:t>
      </w:r>
      <w:r>
        <w:rPr>
          <w:rFonts w:ascii="仿宋_GB2312" w:eastAsia="仿宋_GB2312"/>
          <w:sz w:val="32"/>
          <w:szCs w:val="32"/>
          <w:lang w:eastAsia="zh-CN"/>
        </w:rPr>
        <w:t>车辆6辆，价值37.76万元，其中：副部（省）级及以上领导用车0辆、主要负责人用车0辆、机要通信用车0辆、应急保障用车0辆、执法执勤用车0辆、特种专业技术用车0辆、离退休干部服务用车0辆、其他用车6辆，其他用车主要是：一般业务用车;单价100万元（含）以上设备（不含车辆）0台（套）。</w:t>
      </w: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t>十一、预算绩效的情况说明</w:t>
      </w:r>
    </w:p>
    <w:p w:rsidR="002B73E7" w:rsidRDefault="0043464A">
      <w:pPr>
        <w:spacing w:after="0" w:line="560" w:lineRule="exact"/>
        <w:ind w:firstLineChars="200" w:firstLine="640"/>
        <w:jc w:val="both"/>
        <w:rPr>
          <w:rFonts w:ascii="仿宋_GB2312" w:eastAsia="仿宋_GB2312"/>
          <w:sz w:val="32"/>
          <w:szCs w:val="32"/>
        </w:rPr>
      </w:pPr>
      <w:r>
        <w:rPr>
          <w:rFonts w:ascii="仿宋_GB2312" w:eastAsia="仿宋_GB2312"/>
          <w:sz w:val="32"/>
          <w:szCs w:val="32"/>
          <w:lang w:eastAsia="zh-CN"/>
        </w:rPr>
        <w:t>根据预算绩效管理要求，本单位2024年度预算绩效评价项目1个，全年预算数625.00万元，全年执行数625.00万元。预算绩效管理取得的成效：一是全年在职人员工资按时足额发</w:t>
      </w:r>
      <w:r>
        <w:rPr>
          <w:rFonts w:ascii="仿宋_GB2312" w:eastAsia="仿宋_GB2312"/>
          <w:sz w:val="32"/>
          <w:szCs w:val="32"/>
          <w:lang w:eastAsia="zh-CN"/>
        </w:rPr>
        <w:lastRenderedPageBreak/>
        <w:t>放</w:t>
      </w:r>
      <w:r>
        <w:rPr>
          <w:rFonts w:ascii="仿宋_GB2312" w:eastAsia="仿宋_GB2312" w:hint="eastAsia"/>
          <w:sz w:val="32"/>
          <w:szCs w:val="32"/>
          <w:lang w:eastAsia="zh-CN"/>
        </w:rPr>
        <w:t>，</w:t>
      </w:r>
      <w:r>
        <w:rPr>
          <w:rFonts w:ascii="仿宋_GB2312" w:eastAsia="仿宋_GB2312"/>
          <w:sz w:val="32"/>
          <w:szCs w:val="32"/>
          <w:lang w:eastAsia="zh-CN"/>
        </w:rPr>
        <w:t>保障了</w:t>
      </w:r>
      <w:r>
        <w:rPr>
          <w:rFonts w:ascii="仿宋_GB2312" w:eastAsia="仿宋_GB2312" w:hint="eastAsia"/>
          <w:sz w:val="32"/>
          <w:szCs w:val="32"/>
          <w:lang w:eastAsia="zh-CN"/>
        </w:rPr>
        <w:t>职工的各项基本福利待遇</w:t>
      </w:r>
      <w:r>
        <w:rPr>
          <w:rFonts w:ascii="仿宋_GB2312" w:eastAsia="仿宋_GB2312"/>
          <w:sz w:val="32"/>
          <w:szCs w:val="32"/>
          <w:lang w:eastAsia="zh-CN"/>
        </w:rPr>
        <w:t>；二是</w:t>
      </w:r>
      <w:r>
        <w:rPr>
          <w:rFonts w:ascii="仿宋_GB2312" w:eastAsia="仿宋_GB2312" w:hint="eastAsia"/>
          <w:sz w:val="32"/>
          <w:szCs w:val="32"/>
          <w:lang w:eastAsia="zh-CN"/>
        </w:rPr>
        <w:t>严格按照自治区关于贯彻厉行节约，制止奢侈浪费有关规定管好用好资金，切实提高了资金的使用效益，保证了机关后勤工作的顺利进行</w:t>
      </w:r>
      <w:r>
        <w:rPr>
          <w:rFonts w:ascii="仿宋_GB2312" w:eastAsia="仿宋_GB2312"/>
          <w:sz w:val="32"/>
          <w:szCs w:val="32"/>
          <w:lang w:eastAsia="zh-CN"/>
        </w:rPr>
        <w:t>。发现的问题及原因：一是预算绩效管理意识有待进一步加强</w:t>
      </w:r>
      <w:r>
        <w:rPr>
          <w:rFonts w:ascii="仿宋_GB2312" w:eastAsia="仿宋_GB2312" w:hint="eastAsia"/>
          <w:sz w:val="32"/>
          <w:szCs w:val="32"/>
          <w:lang w:eastAsia="zh-CN"/>
        </w:rPr>
        <w:t>，预算执行规范性有待提升</w:t>
      </w:r>
      <w:r>
        <w:rPr>
          <w:rFonts w:ascii="仿宋_GB2312" w:eastAsia="仿宋_GB2312"/>
          <w:sz w:val="32"/>
          <w:szCs w:val="32"/>
          <w:lang w:eastAsia="zh-CN"/>
        </w:rPr>
        <w:t>；二是预算绩效管理工作体系尚不完善</w:t>
      </w:r>
      <w:r>
        <w:rPr>
          <w:rFonts w:ascii="仿宋_GB2312" w:eastAsia="仿宋_GB2312" w:hint="eastAsia"/>
          <w:sz w:val="32"/>
          <w:szCs w:val="32"/>
          <w:lang w:eastAsia="zh-CN"/>
        </w:rPr>
        <w:t>，绩效目标设定不够精准，绩效监控执行力度不足；三是专业能力有待加强，部分工作人员对绩效管理政策掌握不深入，影响了绩效工作的专业性和有效性</w:t>
      </w:r>
      <w:r>
        <w:rPr>
          <w:rFonts w:ascii="仿宋_GB2312" w:eastAsia="仿宋_GB2312"/>
          <w:sz w:val="32"/>
          <w:szCs w:val="32"/>
          <w:lang w:eastAsia="zh-CN"/>
        </w:rPr>
        <w:t>。下一步改进措施：一是</w:t>
      </w:r>
      <w:r>
        <w:rPr>
          <w:rFonts w:ascii="仿宋_GB2312" w:eastAsia="仿宋_GB2312" w:hint="eastAsia"/>
          <w:sz w:val="32"/>
          <w:szCs w:val="32"/>
          <w:lang w:eastAsia="zh-CN"/>
        </w:rPr>
        <w:t>必须高度重视单位内部会计控制建设，强化单位内部涉及会计工作的各项经济业务及相关岗位的控制，</w:t>
      </w:r>
      <w:r>
        <w:rPr>
          <w:rFonts w:ascii="仿宋_GB2312" w:eastAsia="仿宋_GB2312"/>
          <w:sz w:val="32"/>
          <w:szCs w:val="32"/>
          <w:lang w:eastAsia="zh-CN"/>
        </w:rPr>
        <w:t>严格执行事业单位会计制度，管好、用好各项</w:t>
      </w:r>
      <w:r>
        <w:rPr>
          <w:rFonts w:ascii="仿宋_GB2312" w:eastAsia="仿宋_GB2312" w:hint="eastAsia"/>
          <w:sz w:val="32"/>
          <w:szCs w:val="32"/>
          <w:lang w:eastAsia="zh-CN"/>
        </w:rPr>
        <w:t>资金</w:t>
      </w:r>
      <w:r>
        <w:rPr>
          <w:rFonts w:ascii="仿宋_GB2312" w:eastAsia="仿宋_GB2312"/>
          <w:sz w:val="32"/>
          <w:szCs w:val="32"/>
          <w:lang w:eastAsia="zh-CN"/>
        </w:rPr>
        <w:t>，合理开支，提升资金使用的效率和效果；二是</w:t>
      </w:r>
      <w:r>
        <w:rPr>
          <w:rFonts w:ascii="仿宋_GB2312" w:eastAsia="仿宋_GB2312" w:hint="eastAsia"/>
          <w:sz w:val="32"/>
          <w:szCs w:val="32"/>
          <w:lang w:eastAsia="zh-CN"/>
        </w:rPr>
        <w:t>优化绩效目标设定，强化全过程动态监控，健全评价结果应用机制；三是</w:t>
      </w:r>
      <w:r>
        <w:rPr>
          <w:rFonts w:ascii="仿宋_GB2312" w:eastAsia="仿宋_GB2312"/>
          <w:sz w:val="32"/>
          <w:szCs w:val="32"/>
          <w:lang w:eastAsia="zh-CN"/>
        </w:rPr>
        <w:t>健全绩效管理工作机制，明确职责分工，努力提高绩效管理工作水平。</w:t>
      </w:r>
      <w:proofErr w:type="spellStart"/>
      <w:r>
        <w:rPr>
          <w:rFonts w:ascii="仿宋_GB2312" w:eastAsia="仿宋_GB2312"/>
          <w:sz w:val="32"/>
          <w:szCs w:val="32"/>
        </w:rPr>
        <w:t>具体附项目支出绩效自评表</w:t>
      </w:r>
      <w:proofErr w:type="spellEnd"/>
      <w:r>
        <w:rPr>
          <w:rFonts w:ascii="仿宋_GB2312" w:eastAsia="仿宋_GB2312"/>
          <w:sz w:val="32"/>
          <w:szCs w:val="32"/>
        </w:rPr>
        <w:t>。</w:t>
      </w:r>
    </w:p>
    <w:p w:rsidR="002B73E7" w:rsidRDefault="002B73E7">
      <w:pPr>
        <w:spacing w:after="0" w:line="560" w:lineRule="exact"/>
        <w:ind w:firstLineChars="200" w:firstLine="640"/>
        <w:jc w:val="both"/>
        <w:rPr>
          <w:rFonts w:ascii="仿宋_GB2312" w:eastAsia="仿宋_GB2312"/>
          <w:sz w:val="32"/>
          <w:szCs w:val="32"/>
        </w:rPr>
      </w:pPr>
    </w:p>
    <w:p w:rsidR="002B73E7" w:rsidRDefault="002B73E7">
      <w:pPr>
        <w:spacing w:after="0" w:line="560" w:lineRule="exact"/>
        <w:ind w:firstLineChars="200" w:firstLine="640"/>
        <w:jc w:val="both"/>
        <w:rPr>
          <w:rFonts w:ascii="仿宋_GB2312" w:eastAsia="仿宋_GB2312"/>
          <w:sz w:val="32"/>
          <w:szCs w:val="32"/>
        </w:rPr>
      </w:pPr>
    </w:p>
    <w:p w:rsidR="002B73E7" w:rsidRDefault="002B73E7">
      <w:pPr>
        <w:spacing w:after="0" w:line="560" w:lineRule="exact"/>
        <w:ind w:firstLineChars="200" w:firstLine="640"/>
        <w:jc w:val="both"/>
        <w:rPr>
          <w:rFonts w:ascii="仿宋_GB2312" w:eastAsia="仿宋_GB2312"/>
          <w:sz w:val="32"/>
          <w:szCs w:val="32"/>
        </w:rPr>
      </w:pPr>
    </w:p>
    <w:p w:rsidR="002B73E7" w:rsidRDefault="002B73E7">
      <w:pPr>
        <w:spacing w:after="0" w:line="560" w:lineRule="exact"/>
        <w:ind w:firstLineChars="200" w:firstLine="640"/>
        <w:jc w:val="both"/>
        <w:rPr>
          <w:rFonts w:ascii="仿宋_GB2312" w:eastAsia="仿宋_GB2312"/>
          <w:sz w:val="32"/>
          <w:szCs w:val="32"/>
        </w:rPr>
      </w:pPr>
    </w:p>
    <w:p w:rsidR="002B73E7" w:rsidRDefault="002B73E7">
      <w:pPr>
        <w:spacing w:after="0" w:line="560" w:lineRule="exact"/>
        <w:ind w:firstLineChars="200" w:firstLine="640"/>
        <w:jc w:val="both"/>
        <w:rPr>
          <w:rFonts w:ascii="仿宋_GB2312" w:eastAsia="仿宋_GB2312"/>
          <w:sz w:val="32"/>
          <w:szCs w:val="32"/>
        </w:rPr>
      </w:pPr>
    </w:p>
    <w:p w:rsidR="002B73E7" w:rsidRDefault="002B73E7">
      <w:pPr>
        <w:spacing w:after="0" w:line="560" w:lineRule="exact"/>
        <w:ind w:firstLineChars="200" w:firstLine="640"/>
        <w:jc w:val="both"/>
        <w:rPr>
          <w:rFonts w:ascii="仿宋_GB2312" w:eastAsia="仿宋_GB2312"/>
          <w:sz w:val="32"/>
          <w:szCs w:val="32"/>
        </w:rPr>
      </w:pPr>
    </w:p>
    <w:p w:rsidR="002B73E7" w:rsidRDefault="002B73E7">
      <w:pPr>
        <w:spacing w:after="0" w:line="560" w:lineRule="exact"/>
        <w:ind w:firstLineChars="200" w:firstLine="640"/>
        <w:jc w:val="both"/>
        <w:rPr>
          <w:rFonts w:ascii="仿宋_GB2312" w:eastAsia="仿宋_GB2312"/>
          <w:sz w:val="32"/>
          <w:szCs w:val="32"/>
        </w:rPr>
      </w:pPr>
    </w:p>
    <w:p w:rsidR="002B73E7" w:rsidRDefault="002B73E7" w:rsidP="00AD60A9">
      <w:pPr>
        <w:spacing w:after="0" w:line="560" w:lineRule="exact"/>
        <w:jc w:val="both"/>
        <w:rPr>
          <w:rFonts w:ascii="仿宋_GB2312" w:eastAsia="仿宋_GB2312" w:hint="eastAsia"/>
          <w:sz w:val="32"/>
          <w:szCs w:val="32"/>
          <w:lang w:eastAsia="zh-CN"/>
        </w:rPr>
      </w:pPr>
    </w:p>
    <w:p w:rsidR="002B73E7" w:rsidRDefault="002B73E7">
      <w:pPr>
        <w:spacing w:after="0" w:line="560" w:lineRule="exact"/>
        <w:jc w:val="both"/>
        <w:rPr>
          <w:rFonts w:ascii="仿宋_GB2312" w:eastAsia="仿宋_GB2312"/>
          <w:sz w:val="32"/>
          <w:szCs w:val="32"/>
        </w:rPr>
        <w:sectPr w:rsidR="002B73E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299"/>
        </w:sectPr>
      </w:pPr>
    </w:p>
    <w:tbl>
      <w:tblPr>
        <w:tblW w:w="13339" w:type="dxa"/>
        <w:tblInd w:w="93" w:type="dxa"/>
        <w:tblLook w:val="04A0" w:firstRow="1" w:lastRow="0" w:firstColumn="1" w:lastColumn="0" w:noHBand="0" w:noVBand="1"/>
      </w:tblPr>
      <w:tblGrid>
        <w:gridCol w:w="547"/>
        <w:gridCol w:w="585"/>
        <w:gridCol w:w="868"/>
        <w:gridCol w:w="1943"/>
        <w:gridCol w:w="792"/>
        <w:gridCol w:w="1132"/>
        <w:gridCol w:w="1038"/>
        <w:gridCol w:w="566"/>
        <w:gridCol w:w="793"/>
        <w:gridCol w:w="830"/>
        <w:gridCol w:w="981"/>
        <w:gridCol w:w="1434"/>
        <w:gridCol w:w="830"/>
        <w:gridCol w:w="1000"/>
      </w:tblGrid>
      <w:tr w:rsidR="001179EF" w:rsidRPr="001179EF" w:rsidTr="00A67D6A">
        <w:trPr>
          <w:trHeight w:val="376"/>
        </w:trPr>
        <w:tc>
          <w:tcPr>
            <w:tcW w:w="13339" w:type="dxa"/>
            <w:gridSpan w:val="14"/>
            <w:tcBorders>
              <w:top w:val="nil"/>
              <w:left w:val="nil"/>
              <w:bottom w:val="nil"/>
              <w:right w:val="nil"/>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32"/>
                <w:szCs w:val="32"/>
                <w:lang w:eastAsia="zh-CN"/>
              </w:rPr>
            </w:pPr>
            <w:r w:rsidRPr="001179EF">
              <w:rPr>
                <w:rFonts w:ascii="宋体" w:eastAsia="宋体" w:hAnsi="宋体" w:cs="宋体" w:hint="eastAsia"/>
                <w:b/>
                <w:bCs/>
                <w:color w:val="000000"/>
                <w:sz w:val="32"/>
                <w:szCs w:val="32"/>
                <w:lang w:eastAsia="zh-CN"/>
              </w:rPr>
              <w:lastRenderedPageBreak/>
              <w:t>项目支出绩效自评表</w:t>
            </w:r>
          </w:p>
        </w:tc>
      </w:tr>
      <w:tr w:rsidR="001179EF" w:rsidRPr="001179EF" w:rsidTr="00A67D6A">
        <w:trPr>
          <w:trHeight w:val="352"/>
        </w:trPr>
        <w:tc>
          <w:tcPr>
            <w:tcW w:w="133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lang w:eastAsia="zh-CN"/>
              </w:rPr>
            </w:pPr>
            <w:r w:rsidRPr="001179EF">
              <w:rPr>
                <w:rFonts w:ascii="宋体" w:eastAsia="宋体" w:hAnsi="宋体" w:cs="宋体" w:hint="eastAsia"/>
                <w:color w:val="000000"/>
                <w:lang w:eastAsia="zh-CN"/>
              </w:rPr>
              <w:t>(2024年度)</w:t>
            </w:r>
          </w:p>
        </w:tc>
      </w:tr>
      <w:tr w:rsidR="001179EF" w:rsidRPr="001179EF" w:rsidTr="00A67D6A">
        <w:trPr>
          <w:trHeight w:val="352"/>
        </w:trPr>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项目名称</w:t>
            </w:r>
          </w:p>
        </w:tc>
        <w:tc>
          <w:tcPr>
            <w:tcW w:w="12207" w:type="dxa"/>
            <w:gridSpan w:val="1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机关服务中心财政补助经费</w:t>
            </w:r>
          </w:p>
        </w:tc>
      </w:tr>
      <w:tr w:rsidR="001179EF" w:rsidRPr="001179EF" w:rsidTr="00A67D6A">
        <w:trPr>
          <w:trHeight w:val="352"/>
        </w:trPr>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主管部门</w:t>
            </w:r>
          </w:p>
        </w:tc>
        <w:tc>
          <w:tcPr>
            <w:tcW w:w="5773" w:type="dxa"/>
            <w:gridSpan w:val="5"/>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新疆维吾尔自治区商务厅机关服务中心</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实施单位</w:t>
            </w:r>
          </w:p>
        </w:tc>
        <w:tc>
          <w:tcPr>
            <w:tcW w:w="5075" w:type="dxa"/>
            <w:gridSpan w:val="5"/>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新疆维吾尔自治区商务厅机关服务中心</w:t>
            </w:r>
          </w:p>
        </w:tc>
      </w:tr>
      <w:tr w:rsidR="00A67D6A" w:rsidRPr="001179EF" w:rsidTr="00A67D6A">
        <w:trPr>
          <w:trHeight w:val="529"/>
        </w:trPr>
        <w:tc>
          <w:tcPr>
            <w:tcW w:w="1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项目资金</w:t>
            </w:r>
            <w:r w:rsidRPr="001179EF">
              <w:rPr>
                <w:rFonts w:ascii="宋体" w:eastAsia="宋体" w:hAnsi="宋体" w:cs="宋体" w:hint="eastAsia"/>
                <w:b/>
                <w:bCs/>
                <w:color w:val="000000"/>
                <w:sz w:val="18"/>
                <w:szCs w:val="18"/>
                <w:lang w:eastAsia="zh-CN"/>
              </w:rPr>
              <w:br/>
              <w:t>（万元）</w:t>
            </w: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年初预算数</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全年预算数</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全年执行数</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分值</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执行率</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得分</w:t>
            </w:r>
          </w:p>
        </w:tc>
      </w:tr>
      <w:tr w:rsidR="00A67D6A" w:rsidRPr="001179EF" w:rsidTr="00A67D6A">
        <w:trPr>
          <w:trHeight w:val="352"/>
        </w:trPr>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年度资金总额</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625.00</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625.00</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625.00</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10.00</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100.00%</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10.00</w:t>
            </w:r>
          </w:p>
        </w:tc>
      </w:tr>
      <w:tr w:rsidR="00A67D6A" w:rsidRPr="001179EF" w:rsidTr="00A67D6A">
        <w:trPr>
          <w:trHeight w:val="352"/>
        </w:trPr>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其中：当年财政拨款</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130.00</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130.00</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130.00</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w:t>
            </w:r>
          </w:p>
        </w:tc>
      </w:tr>
      <w:tr w:rsidR="00A67D6A" w:rsidRPr="001179EF" w:rsidTr="00A67D6A">
        <w:trPr>
          <w:trHeight w:val="352"/>
        </w:trPr>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 xml:space="preserve">  其他资金</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495.00</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495.00</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495.00</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w:t>
            </w:r>
          </w:p>
        </w:tc>
      </w:tr>
      <w:tr w:rsidR="001179EF" w:rsidRPr="001179EF" w:rsidTr="00A67D6A">
        <w:trPr>
          <w:trHeight w:val="352"/>
        </w:trPr>
        <w:tc>
          <w:tcPr>
            <w:tcW w:w="547"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年度总体目标</w:t>
            </w:r>
          </w:p>
        </w:tc>
        <w:tc>
          <w:tcPr>
            <w:tcW w:w="6358" w:type="dxa"/>
            <w:gridSpan w:val="6"/>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预期目标</w:t>
            </w:r>
          </w:p>
        </w:tc>
        <w:tc>
          <w:tcPr>
            <w:tcW w:w="6434" w:type="dxa"/>
            <w:gridSpan w:val="7"/>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实际完成情况</w:t>
            </w:r>
          </w:p>
        </w:tc>
      </w:tr>
      <w:tr w:rsidR="001179EF" w:rsidRPr="001179EF" w:rsidTr="00A67D6A">
        <w:trPr>
          <w:trHeight w:val="794"/>
        </w:trPr>
        <w:tc>
          <w:tcPr>
            <w:tcW w:w="547"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6358" w:type="dxa"/>
            <w:gridSpan w:val="6"/>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保障全年在职人员工资。2、按时间按规定缴纳养老保险等。3、按照预算执行进度安排好商品服务支出。4、严格按照自治区关于贯彻厉行节约、制止奢侈浪费有关规定管好用好资金，保证了机关后勤工作的顺利进行,维护了良好的安全生产环境。</w:t>
            </w:r>
          </w:p>
        </w:tc>
        <w:tc>
          <w:tcPr>
            <w:tcW w:w="6434" w:type="dxa"/>
            <w:gridSpan w:val="7"/>
            <w:tcBorders>
              <w:top w:val="single" w:sz="4" w:space="0" w:color="auto"/>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保障了在职人员工资按时发放、按时间按规定缴纳养老保险，按照预算执行进度安排好商品服务支出，严格按照自治区关于贯彻厉行节约、制止奢侈浪费有关规定管好用好资金，保证了机关后勤工作的顺利进行。</w:t>
            </w:r>
          </w:p>
        </w:tc>
      </w:tr>
      <w:tr w:rsidR="001179EF" w:rsidRPr="001179EF" w:rsidTr="00A67D6A">
        <w:trPr>
          <w:trHeight w:val="290"/>
        </w:trPr>
        <w:tc>
          <w:tcPr>
            <w:tcW w:w="547"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一级指标</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二级指标</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三级指标</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权重</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目标值</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业绩值</w:t>
            </w:r>
          </w:p>
        </w:tc>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完成率</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指标得分</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指标值设定依据</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上年完成情况</w:t>
            </w:r>
          </w:p>
        </w:tc>
        <w:tc>
          <w:tcPr>
            <w:tcW w:w="1434"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proofErr w:type="gramStart"/>
            <w:r w:rsidRPr="001179EF">
              <w:rPr>
                <w:rFonts w:ascii="宋体" w:eastAsia="宋体" w:hAnsi="宋体" w:cs="宋体" w:hint="eastAsia"/>
                <w:b/>
                <w:bCs/>
                <w:color w:val="000000"/>
                <w:sz w:val="18"/>
                <w:szCs w:val="18"/>
                <w:lang w:eastAsia="zh-CN"/>
              </w:rPr>
              <w:t>赋分规则</w:t>
            </w:r>
            <w:proofErr w:type="gramEnd"/>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佐证资料</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偏差原因分析及改进措施</w:t>
            </w:r>
          </w:p>
        </w:tc>
      </w:tr>
      <w:tr w:rsidR="00A67D6A" w:rsidRPr="001179EF" w:rsidTr="00A67D6A">
        <w:trPr>
          <w:trHeight w:val="515"/>
        </w:trPr>
        <w:tc>
          <w:tcPr>
            <w:tcW w:w="547"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p>
        </w:tc>
        <w:tc>
          <w:tcPr>
            <w:tcW w:w="585"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868"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1943"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792"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1132"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1038"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566"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793"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830"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981"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1434"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830"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1000"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r>
      <w:tr w:rsidR="00A67D6A" w:rsidRPr="001179EF" w:rsidTr="00A67D6A">
        <w:trPr>
          <w:trHeight w:val="352"/>
        </w:trPr>
        <w:tc>
          <w:tcPr>
            <w:tcW w:w="547"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年度绩效指标完成情况</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产出指标</w:t>
            </w:r>
          </w:p>
        </w:tc>
        <w:tc>
          <w:tcPr>
            <w:tcW w:w="86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数量指标</w:t>
            </w:r>
          </w:p>
        </w:tc>
        <w:tc>
          <w:tcPr>
            <w:tcW w:w="194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发放人员（补助）人数</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113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&gt;=30人</w:t>
            </w:r>
          </w:p>
        </w:tc>
        <w:tc>
          <w:tcPr>
            <w:tcW w:w="103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=41人</w:t>
            </w:r>
          </w:p>
        </w:tc>
        <w:tc>
          <w:tcPr>
            <w:tcW w:w="566"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79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历史标准</w:t>
            </w:r>
          </w:p>
        </w:tc>
        <w:tc>
          <w:tcPr>
            <w:tcW w:w="981"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44人</w:t>
            </w:r>
          </w:p>
        </w:tc>
        <w:tc>
          <w:tcPr>
            <w:tcW w:w="1434"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按照完成</w:t>
            </w:r>
            <w:proofErr w:type="gramStart"/>
            <w:r w:rsidRPr="001179EF">
              <w:rPr>
                <w:rFonts w:ascii="宋体" w:eastAsia="宋体" w:hAnsi="宋体" w:cs="宋体" w:hint="eastAsia"/>
                <w:color w:val="000000"/>
                <w:sz w:val="18"/>
                <w:szCs w:val="18"/>
                <w:lang w:eastAsia="zh-CN"/>
              </w:rPr>
              <w:t>比例赋分</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原始凭证</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r>
      <w:tr w:rsidR="00A67D6A" w:rsidRPr="001179EF" w:rsidTr="00A67D6A">
        <w:trPr>
          <w:trHeight w:val="352"/>
        </w:trPr>
        <w:tc>
          <w:tcPr>
            <w:tcW w:w="547"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585"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p>
        </w:tc>
        <w:tc>
          <w:tcPr>
            <w:tcW w:w="86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数量指标</w:t>
            </w:r>
          </w:p>
        </w:tc>
        <w:tc>
          <w:tcPr>
            <w:tcW w:w="194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发放人员（补助）次数</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113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=12次</w:t>
            </w:r>
          </w:p>
        </w:tc>
        <w:tc>
          <w:tcPr>
            <w:tcW w:w="103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=12次</w:t>
            </w:r>
          </w:p>
        </w:tc>
        <w:tc>
          <w:tcPr>
            <w:tcW w:w="566"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79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历史标准</w:t>
            </w:r>
          </w:p>
        </w:tc>
        <w:tc>
          <w:tcPr>
            <w:tcW w:w="981"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12次</w:t>
            </w:r>
          </w:p>
        </w:tc>
        <w:tc>
          <w:tcPr>
            <w:tcW w:w="1434"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按照完成</w:t>
            </w:r>
            <w:proofErr w:type="gramStart"/>
            <w:r w:rsidRPr="001179EF">
              <w:rPr>
                <w:rFonts w:ascii="宋体" w:eastAsia="宋体" w:hAnsi="宋体" w:cs="宋体" w:hint="eastAsia"/>
                <w:color w:val="000000"/>
                <w:sz w:val="18"/>
                <w:szCs w:val="18"/>
                <w:lang w:eastAsia="zh-CN"/>
              </w:rPr>
              <w:t>比例赋分</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原始凭证</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r>
      <w:tr w:rsidR="00A67D6A" w:rsidRPr="001179EF" w:rsidTr="00A67D6A">
        <w:trPr>
          <w:trHeight w:val="352"/>
        </w:trPr>
        <w:tc>
          <w:tcPr>
            <w:tcW w:w="547"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585"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p>
        </w:tc>
        <w:tc>
          <w:tcPr>
            <w:tcW w:w="86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时效指标</w:t>
            </w:r>
          </w:p>
        </w:tc>
        <w:tc>
          <w:tcPr>
            <w:tcW w:w="194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资金发放（补助）及时率</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113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&gt;=95%</w:t>
            </w:r>
          </w:p>
        </w:tc>
        <w:tc>
          <w:tcPr>
            <w:tcW w:w="103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=95%</w:t>
            </w:r>
          </w:p>
        </w:tc>
        <w:tc>
          <w:tcPr>
            <w:tcW w:w="566"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79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历史标准</w:t>
            </w:r>
          </w:p>
        </w:tc>
        <w:tc>
          <w:tcPr>
            <w:tcW w:w="981"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1434"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按照完成</w:t>
            </w:r>
            <w:proofErr w:type="gramStart"/>
            <w:r w:rsidRPr="001179EF">
              <w:rPr>
                <w:rFonts w:ascii="宋体" w:eastAsia="宋体" w:hAnsi="宋体" w:cs="宋体" w:hint="eastAsia"/>
                <w:color w:val="000000"/>
                <w:sz w:val="18"/>
                <w:szCs w:val="18"/>
                <w:lang w:eastAsia="zh-CN"/>
              </w:rPr>
              <w:t>比例赋分</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原始凭证</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r>
      <w:tr w:rsidR="00A67D6A" w:rsidRPr="001179EF" w:rsidTr="00A67D6A">
        <w:trPr>
          <w:trHeight w:val="515"/>
        </w:trPr>
        <w:tc>
          <w:tcPr>
            <w:tcW w:w="547"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585"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成本指标</w:t>
            </w:r>
          </w:p>
        </w:tc>
        <w:tc>
          <w:tcPr>
            <w:tcW w:w="86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经济成本指标</w:t>
            </w:r>
          </w:p>
        </w:tc>
        <w:tc>
          <w:tcPr>
            <w:tcW w:w="194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每次发放（补助）资金数</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113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&lt;=52.08万元</w:t>
            </w:r>
          </w:p>
        </w:tc>
        <w:tc>
          <w:tcPr>
            <w:tcW w:w="103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=52.08万元</w:t>
            </w:r>
          </w:p>
        </w:tc>
        <w:tc>
          <w:tcPr>
            <w:tcW w:w="566"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79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20</w:t>
            </w:r>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预算支出标准</w:t>
            </w:r>
          </w:p>
        </w:tc>
        <w:tc>
          <w:tcPr>
            <w:tcW w:w="981"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37.08万元</w:t>
            </w:r>
          </w:p>
        </w:tc>
        <w:tc>
          <w:tcPr>
            <w:tcW w:w="1434"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按照完成</w:t>
            </w:r>
            <w:proofErr w:type="gramStart"/>
            <w:r w:rsidRPr="001179EF">
              <w:rPr>
                <w:rFonts w:ascii="宋体" w:eastAsia="宋体" w:hAnsi="宋体" w:cs="宋体" w:hint="eastAsia"/>
                <w:color w:val="000000"/>
                <w:sz w:val="18"/>
                <w:szCs w:val="18"/>
                <w:lang w:eastAsia="zh-CN"/>
              </w:rPr>
              <w:t>比例赋分</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原始凭证</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r>
      <w:tr w:rsidR="00A67D6A" w:rsidRPr="001179EF" w:rsidTr="00A67D6A">
        <w:trPr>
          <w:trHeight w:val="502"/>
        </w:trPr>
        <w:tc>
          <w:tcPr>
            <w:tcW w:w="547" w:type="dxa"/>
            <w:vMerge/>
            <w:tcBorders>
              <w:top w:val="nil"/>
              <w:left w:val="single" w:sz="4" w:space="0" w:color="auto"/>
              <w:bottom w:val="single" w:sz="4" w:space="0" w:color="auto"/>
              <w:right w:val="single" w:sz="4" w:space="0" w:color="auto"/>
            </w:tcBorders>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p>
        </w:tc>
        <w:tc>
          <w:tcPr>
            <w:tcW w:w="585"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满意度指标</w:t>
            </w:r>
          </w:p>
        </w:tc>
        <w:tc>
          <w:tcPr>
            <w:tcW w:w="86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满意度指标</w:t>
            </w:r>
          </w:p>
        </w:tc>
        <w:tc>
          <w:tcPr>
            <w:tcW w:w="194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在职职工满意度</w:t>
            </w:r>
          </w:p>
        </w:tc>
        <w:tc>
          <w:tcPr>
            <w:tcW w:w="79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w:t>
            </w:r>
          </w:p>
        </w:tc>
        <w:tc>
          <w:tcPr>
            <w:tcW w:w="113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&gt;=95%</w:t>
            </w:r>
          </w:p>
        </w:tc>
        <w:tc>
          <w:tcPr>
            <w:tcW w:w="103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=95%</w:t>
            </w:r>
          </w:p>
        </w:tc>
        <w:tc>
          <w:tcPr>
            <w:tcW w:w="566"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79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w:t>
            </w:r>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历史标准</w:t>
            </w:r>
          </w:p>
        </w:tc>
        <w:tc>
          <w:tcPr>
            <w:tcW w:w="981"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1434"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满意</w:t>
            </w:r>
            <w:proofErr w:type="gramStart"/>
            <w:r w:rsidRPr="001179EF">
              <w:rPr>
                <w:rFonts w:ascii="宋体" w:eastAsia="宋体" w:hAnsi="宋体" w:cs="宋体" w:hint="eastAsia"/>
                <w:color w:val="000000"/>
                <w:sz w:val="18"/>
                <w:szCs w:val="18"/>
                <w:lang w:eastAsia="zh-CN"/>
              </w:rPr>
              <w:t>度赋分</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原始凭证</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r>
      <w:tr w:rsidR="00A67D6A" w:rsidRPr="001179EF" w:rsidTr="00A67D6A">
        <w:trPr>
          <w:trHeight w:val="352"/>
        </w:trPr>
        <w:tc>
          <w:tcPr>
            <w:tcW w:w="3943" w:type="dxa"/>
            <w:gridSpan w:val="4"/>
            <w:tcBorders>
              <w:top w:val="single" w:sz="4" w:space="0" w:color="auto"/>
              <w:left w:val="single" w:sz="4" w:space="0" w:color="auto"/>
              <w:bottom w:val="single" w:sz="4" w:space="0" w:color="auto"/>
              <w:right w:val="nil"/>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总分</w:t>
            </w:r>
          </w:p>
        </w:tc>
        <w:tc>
          <w:tcPr>
            <w:tcW w:w="792" w:type="dxa"/>
            <w:tcBorders>
              <w:top w:val="nil"/>
              <w:left w:val="single" w:sz="4" w:space="0" w:color="auto"/>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w:t>
            </w:r>
          </w:p>
        </w:tc>
        <w:tc>
          <w:tcPr>
            <w:tcW w:w="1132"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rPr>
                <w:rFonts w:ascii="宋体" w:eastAsia="宋体" w:hAnsi="宋体" w:cs="宋体"/>
                <w:b/>
                <w:bCs/>
                <w:color w:val="000000"/>
                <w:sz w:val="18"/>
                <w:szCs w:val="18"/>
                <w:lang w:eastAsia="zh-CN"/>
              </w:rPr>
            </w:pPr>
            <w:r w:rsidRPr="001179EF">
              <w:rPr>
                <w:rFonts w:ascii="宋体" w:eastAsia="宋体" w:hAnsi="宋体" w:cs="宋体" w:hint="eastAsia"/>
                <w:b/>
                <w:bCs/>
                <w:color w:val="000000"/>
                <w:sz w:val="18"/>
                <w:szCs w:val="18"/>
                <w:lang w:eastAsia="zh-CN"/>
              </w:rPr>
              <w:t xml:space="preserve">　</w:t>
            </w:r>
          </w:p>
        </w:tc>
        <w:tc>
          <w:tcPr>
            <w:tcW w:w="1038"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c>
          <w:tcPr>
            <w:tcW w:w="566"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c>
          <w:tcPr>
            <w:tcW w:w="793"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jc w:val="center"/>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100.00分</w:t>
            </w:r>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c>
          <w:tcPr>
            <w:tcW w:w="981"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c>
          <w:tcPr>
            <w:tcW w:w="1434"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179EF" w:rsidRPr="001179EF" w:rsidRDefault="001179EF" w:rsidP="001179EF">
            <w:pPr>
              <w:spacing w:after="0" w:line="240" w:lineRule="auto"/>
              <w:rPr>
                <w:rFonts w:ascii="宋体" w:eastAsia="宋体" w:hAnsi="宋体" w:cs="宋体"/>
                <w:color w:val="000000"/>
                <w:sz w:val="18"/>
                <w:szCs w:val="18"/>
                <w:lang w:eastAsia="zh-CN"/>
              </w:rPr>
            </w:pPr>
            <w:r w:rsidRPr="001179EF">
              <w:rPr>
                <w:rFonts w:ascii="宋体" w:eastAsia="宋体" w:hAnsi="宋体" w:cs="宋体" w:hint="eastAsia"/>
                <w:color w:val="000000"/>
                <w:sz w:val="18"/>
                <w:szCs w:val="18"/>
                <w:lang w:eastAsia="zh-CN"/>
              </w:rPr>
              <w:t xml:space="preserve">　</w:t>
            </w:r>
          </w:p>
        </w:tc>
      </w:tr>
    </w:tbl>
    <w:p w:rsidR="002B73E7" w:rsidRDefault="002B73E7">
      <w:pPr>
        <w:spacing w:after="0" w:line="560" w:lineRule="exact"/>
        <w:jc w:val="both"/>
        <w:rPr>
          <w:rFonts w:ascii="仿宋_GB2312" w:eastAsia="仿宋_GB2312"/>
          <w:sz w:val="32"/>
          <w:szCs w:val="32"/>
        </w:rPr>
        <w:sectPr w:rsidR="002B73E7">
          <w:pgSz w:w="15840" w:h="12240" w:orient="landscape"/>
          <w:pgMar w:top="1800" w:right="1440" w:bottom="1800" w:left="1440" w:header="720" w:footer="720" w:gutter="0"/>
          <w:cols w:space="720"/>
          <w:docGrid w:linePitch="299"/>
        </w:sectPr>
      </w:pPr>
    </w:p>
    <w:p w:rsidR="002B73E7" w:rsidRDefault="0043464A">
      <w:pPr>
        <w:spacing w:after="0" w:line="560" w:lineRule="exact"/>
        <w:ind w:firstLineChars="200" w:firstLine="640"/>
        <w:outlineLvl w:val="1"/>
        <w:rPr>
          <w:rFonts w:ascii="黑体" w:eastAsia="黑体"/>
          <w:sz w:val="32"/>
          <w:szCs w:val="32"/>
          <w:lang w:eastAsia="zh-CN"/>
        </w:rPr>
      </w:pPr>
      <w:r>
        <w:rPr>
          <w:rFonts w:ascii="黑体" w:eastAsia="黑体"/>
          <w:sz w:val="32"/>
          <w:szCs w:val="32"/>
          <w:lang w:eastAsia="zh-CN"/>
        </w:rPr>
        <w:lastRenderedPageBreak/>
        <w:t>十二、其他需说明的事项</w:t>
      </w:r>
    </w:p>
    <w:p w:rsidR="002B73E7" w:rsidRDefault="0043464A">
      <w:pPr>
        <w:spacing w:after="0"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本单位无其他需说明事项。</w:t>
      </w:r>
    </w:p>
    <w:p w:rsidR="002B73E7" w:rsidRDefault="0043464A">
      <w:pPr>
        <w:spacing w:line="560" w:lineRule="exact"/>
        <w:ind w:firstLine="200"/>
        <w:rPr>
          <w:lang w:eastAsia="zh-CN"/>
        </w:rPr>
      </w:pPr>
      <w:r>
        <w:rPr>
          <w:sz w:val="0"/>
          <w:szCs w:val="0"/>
          <w:lang w:eastAsia="zh-CN"/>
        </w:rPr>
        <w:br w:type="page"/>
      </w:r>
    </w:p>
    <w:p w:rsidR="002B73E7" w:rsidRDefault="0043464A">
      <w:pPr>
        <w:spacing w:after="0" w:line="560" w:lineRule="exact"/>
        <w:ind w:firstLine="200"/>
        <w:jc w:val="center"/>
        <w:outlineLvl w:val="0"/>
        <w:rPr>
          <w:rFonts w:ascii="黑体" w:eastAsia="黑体"/>
          <w:sz w:val="32"/>
          <w:szCs w:val="32"/>
          <w:lang w:eastAsia="zh-CN"/>
        </w:rPr>
      </w:pPr>
      <w:r>
        <w:rPr>
          <w:rFonts w:ascii="黑体" w:eastAsia="黑体"/>
          <w:sz w:val="32"/>
          <w:szCs w:val="32"/>
          <w:lang w:eastAsia="zh-CN"/>
        </w:rPr>
        <w:lastRenderedPageBreak/>
        <w:t>第三部分 专业名词解释</w:t>
      </w:r>
    </w:p>
    <w:p w:rsidR="002B73E7" w:rsidRDefault="0043464A">
      <w:pPr>
        <w:spacing w:after="0" w:line="560" w:lineRule="exact"/>
        <w:ind w:firstLineChars="200" w:firstLine="643"/>
        <w:rPr>
          <w:rFonts w:ascii="仿宋_GB2312" w:eastAsia="仿宋_GB2312"/>
          <w:sz w:val="32"/>
          <w:szCs w:val="32"/>
          <w:lang w:eastAsia="zh-CN"/>
        </w:rPr>
      </w:pPr>
      <w:r>
        <w:rPr>
          <w:rFonts w:ascii="仿宋_GB2312" w:eastAsia="仿宋_GB2312"/>
          <w:b/>
          <w:sz w:val="32"/>
          <w:szCs w:val="32"/>
          <w:lang w:eastAsia="zh-CN"/>
        </w:rPr>
        <w:t>一、财政拨款收入：</w:t>
      </w:r>
      <w:r>
        <w:rPr>
          <w:rFonts w:ascii="仿宋_GB2312" w:eastAsia="仿宋_GB2312"/>
          <w:sz w:val="32"/>
          <w:szCs w:val="32"/>
          <w:lang w:eastAsia="zh-CN"/>
        </w:rPr>
        <w:t>指同级财政当年拨付的资金。</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二、上级补助收入：</w:t>
      </w:r>
      <w:r>
        <w:rPr>
          <w:rFonts w:ascii="仿宋_GB2312" w:eastAsia="仿宋_GB2312"/>
          <w:sz w:val="32"/>
          <w:szCs w:val="32"/>
          <w:lang w:eastAsia="zh-CN"/>
        </w:rPr>
        <w:t>指事业单位从主管部门和上级单位取得的非财政补助收入。</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三、事业收入：</w:t>
      </w:r>
      <w:r>
        <w:rPr>
          <w:rFonts w:ascii="仿宋_GB2312" w:eastAsia="仿宋_GB2312"/>
          <w:sz w:val="32"/>
          <w:szCs w:val="32"/>
          <w:lang w:eastAsia="zh-CN"/>
        </w:rPr>
        <w:t>指事业单位开展专业业务活动及其辅助活动所取得的收入。</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四、经营收入：</w:t>
      </w:r>
      <w:r>
        <w:rPr>
          <w:rFonts w:ascii="仿宋_GB2312" w:eastAsia="仿宋_GB2312"/>
          <w:sz w:val="32"/>
          <w:szCs w:val="32"/>
          <w:lang w:eastAsia="zh-CN"/>
        </w:rPr>
        <w:t>指事业单位在专业业务活动及其辅助活动之外开展非独立核算经营活动取得的收入。</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五、附属单位上缴收入：</w:t>
      </w:r>
      <w:r>
        <w:rPr>
          <w:rFonts w:ascii="仿宋_GB2312" w:eastAsia="仿宋_GB2312"/>
          <w:sz w:val="32"/>
          <w:szCs w:val="32"/>
          <w:lang w:eastAsia="zh-CN"/>
        </w:rPr>
        <w:t>指事业单位附属的独立核算单位按有关规定上缴的收入。</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六、其他收入：</w:t>
      </w:r>
      <w:r>
        <w:rPr>
          <w:rFonts w:ascii="仿宋_GB2312" w:eastAsia="仿宋_GB2312"/>
          <w:sz w:val="32"/>
          <w:szCs w:val="32"/>
          <w:lang w:eastAsia="zh-CN"/>
        </w:rPr>
        <w:t>指除上述</w:t>
      </w:r>
      <w:r>
        <w:rPr>
          <w:rFonts w:ascii="仿宋_GB2312" w:eastAsia="仿宋_GB2312"/>
          <w:sz w:val="32"/>
          <w:szCs w:val="32"/>
          <w:lang w:eastAsia="zh-CN"/>
        </w:rPr>
        <w:t>“</w:t>
      </w:r>
      <w:r>
        <w:rPr>
          <w:rFonts w:ascii="仿宋_GB2312" w:eastAsia="仿宋_GB2312"/>
          <w:sz w:val="32"/>
          <w:szCs w:val="32"/>
          <w:lang w:eastAsia="zh-CN"/>
        </w:rPr>
        <w:t>财政拨款收入</w:t>
      </w:r>
      <w:r>
        <w:rPr>
          <w:rFonts w:ascii="仿宋_GB2312" w:eastAsia="仿宋_GB2312"/>
          <w:sz w:val="32"/>
          <w:szCs w:val="32"/>
          <w:lang w:eastAsia="zh-CN"/>
        </w:rPr>
        <w:t>”</w:t>
      </w:r>
      <w:r>
        <w:rPr>
          <w:rFonts w:ascii="仿宋_GB2312" w:eastAsia="仿宋_GB2312"/>
          <w:sz w:val="32"/>
          <w:szCs w:val="32"/>
          <w:lang w:eastAsia="zh-CN"/>
        </w:rPr>
        <w:t>、</w:t>
      </w:r>
      <w:r>
        <w:rPr>
          <w:rFonts w:ascii="仿宋_GB2312" w:eastAsia="仿宋_GB2312"/>
          <w:sz w:val="32"/>
          <w:szCs w:val="32"/>
          <w:lang w:eastAsia="zh-CN"/>
        </w:rPr>
        <w:t>“</w:t>
      </w:r>
      <w:r>
        <w:rPr>
          <w:rFonts w:ascii="仿宋_GB2312" w:eastAsia="仿宋_GB2312"/>
          <w:sz w:val="32"/>
          <w:szCs w:val="32"/>
          <w:lang w:eastAsia="zh-CN"/>
        </w:rPr>
        <w:t>事业收入</w:t>
      </w:r>
      <w:r>
        <w:rPr>
          <w:rFonts w:ascii="仿宋_GB2312" w:eastAsia="仿宋_GB2312"/>
          <w:sz w:val="32"/>
          <w:szCs w:val="32"/>
          <w:lang w:eastAsia="zh-CN"/>
        </w:rPr>
        <w:t>”</w:t>
      </w:r>
      <w:r>
        <w:rPr>
          <w:rFonts w:ascii="仿宋_GB2312" w:eastAsia="仿宋_GB2312"/>
          <w:sz w:val="32"/>
          <w:szCs w:val="32"/>
          <w:lang w:eastAsia="zh-CN"/>
        </w:rPr>
        <w:t>、</w:t>
      </w:r>
      <w:r>
        <w:rPr>
          <w:rFonts w:ascii="仿宋_GB2312" w:eastAsia="仿宋_GB2312"/>
          <w:sz w:val="32"/>
          <w:szCs w:val="32"/>
          <w:lang w:eastAsia="zh-CN"/>
        </w:rPr>
        <w:t>“</w:t>
      </w:r>
      <w:r>
        <w:rPr>
          <w:rFonts w:ascii="仿宋_GB2312" w:eastAsia="仿宋_GB2312"/>
          <w:sz w:val="32"/>
          <w:szCs w:val="32"/>
          <w:lang w:eastAsia="zh-CN"/>
        </w:rPr>
        <w:t>经营收入</w:t>
      </w:r>
      <w:r>
        <w:rPr>
          <w:rFonts w:ascii="仿宋_GB2312" w:eastAsia="仿宋_GB2312"/>
          <w:sz w:val="32"/>
          <w:szCs w:val="32"/>
          <w:lang w:eastAsia="zh-CN"/>
        </w:rPr>
        <w:t>”</w:t>
      </w:r>
      <w:r>
        <w:rPr>
          <w:rFonts w:ascii="仿宋_GB2312" w:eastAsia="仿宋_GB2312"/>
          <w:sz w:val="32"/>
          <w:szCs w:val="32"/>
          <w:lang w:eastAsia="zh-CN"/>
        </w:rPr>
        <w:t>、</w:t>
      </w:r>
      <w:r>
        <w:rPr>
          <w:rFonts w:ascii="仿宋_GB2312" w:eastAsia="仿宋_GB2312"/>
          <w:sz w:val="32"/>
          <w:szCs w:val="32"/>
          <w:lang w:eastAsia="zh-CN"/>
        </w:rPr>
        <w:t>“</w:t>
      </w:r>
      <w:r>
        <w:rPr>
          <w:rFonts w:ascii="仿宋_GB2312" w:eastAsia="仿宋_GB2312"/>
          <w:sz w:val="32"/>
          <w:szCs w:val="32"/>
          <w:lang w:eastAsia="zh-CN"/>
        </w:rPr>
        <w:t>附属单位上缴收入</w:t>
      </w:r>
      <w:r>
        <w:rPr>
          <w:rFonts w:ascii="仿宋_GB2312" w:eastAsia="仿宋_GB2312"/>
          <w:sz w:val="32"/>
          <w:szCs w:val="32"/>
          <w:lang w:eastAsia="zh-CN"/>
        </w:rPr>
        <w:t>”</w:t>
      </w:r>
      <w:r>
        <w:rPr>
          <w:rFonts w:ascii="仿宋_GB2312" w:eastAsia="仿宋_GB2312"/>
          <w:sz w:val="32"/>
          <w:szCs w:val="32"/>
          <w:lang w:eastAsia="zh-CN"/>
        </w:rPr>
        <w:t>等之外取得的收入。</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七、年初结转和结余：</w:t>
      </w:r>
      <w:r>
        <w:rPr>
          <w:rFonts w:ascii="仿宋_GB2312" w:eastAsia="仿宋_GB2312"/>
          <w:sz w:val="32"/>
          <w:szCs w:val="32"/>
          <w:lang w:eastAsia="zh-CN"/>
        </w:rPr>
        <w:t>指以前年度支出预算因客观条件变化未执行完毕、结转到本年度按有关规定继续使用的资金，既包括财政拨款结转和结余，也包括事业收入、经营收入、其他收入的结转和结余。</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八、年末结转和结余：</w:t>
      </w:r>
      <w:r>
        <w:rPr>
          <w:rFonts w:ascii="仿宋_GB2312" w:eastAsia="仿宋_GB2312"/>
          <w:sz w:val="32"/>
          <w:szCs w:val="32"/>
          <w:lang w:eastAsia="zh-CN"/>
        </w:rPr>
        <w:t>指本年度或以前年度预算安排、因客观条件发生变化无法按原计划实施，需要延迟到以后年度按有关规定继续使用的资金，既包括财政拨款结转和结余，也包括事业收入、经营收入、其他收入的结转和结余。</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九、基本支出：</w:t>
      </w:r>
      <w:r>
        <w:rPr>
          <w:rFonts w:ascii="仿宋_GB2312" w:eastAsia="仿宋_GB2312"/>
          <w:sz w:val="32"/>
          <w:szCs w:val="32"/>
          <w:lang w:eastAsia="zh-CN"/>
        </w:rPr>
        <w:t>指为保障机构正常运转、完成日常工作任务而发生的人员支出和公用支出。</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lastRenderedPageBreak/>
        <w:t>十、项目支出：</w:t>
      </w:r>
      <w:r>
        <w:rPr>
          <w:rFonts w:ascii="仿宋_GB2312" w:eastAsia="仿宋_GB2312"/>
          <w:sz w:val="32"/>
          <w:szCs w:val="32"/>
          <w:lang w:eastAsia="zh-CN"/>
        </w:rPr>
        <w:t>指在基本支出之外为完成特定行政任务和事业发展目标所发生的支出。</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十一、经营支出：</w:t>
      </w:r>
      <w:r>
        <w:rPr>
          <w:rFonts w:ascii="仿宋_GB2312" w:eastAsia="仿宋_GB2312"/>
          <w:sz w:val="32"/>
          <w:szCs w:val="32"/>
          <w:lang w:eastAsia="zh-CN"/>
        </w:rPr>
        <w:t>指事业单位在专业业务活动及其辅助活动之外开展非独立核算经营活动发生的支出。</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十二、对附属单位补助支出：</w:t>
      </w:r>
      <w:r>
        <w:rPr>
          <w:rFonts w:ascii="仿宋_GB2312" w:eastAsia="仿宋_GB2312"/>
          <w:sz w:val="32"/>
          <w:szCs w:val="32"/>
          <w:lang w:eastAsia="zh-CN"/>
        </w:rPr>
        <w:t>指事业单位发生的用非财政预算资金对附属单位的补助支出。</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十三、</w:t>
      </w:r>
      <w:r>
        <w:rPr>
          <w:rFonts w:ascii="仿宋_GB2312" w:eastAsia="仿宋_GB2312"/>
          <w:b/>
          <w:sz w:val="32"/>
          <w:szCs w:val="32"/>
          <w:lang w:eastAsia="zh-CN"/>
        </w:rPr>
        <w:t>“</w:t>
      </w:r>
      <w:r>
        <w:rPr>
          <w:rFonts w:ascii="仿宋_GB2312" w:eastAsia="仿宋_GB2312"/>
          <w:b/>
          <w:sz w:val="32"/>
          <w:szCs w:val="32"/>
          <w:lang w:eastAsia="zh-CN"/>
        </w:rPr>
        <w:t>三公</w:t>
      </w:r>
      <w:r>
        <w:rPr>
          <w:rFonts w:ascii="仿宋_GB2312" w:eastAsia="仿宋_GB2312"/>
          <w:b/>
          <w:sz w:val="32"/>
          <w:szCs w:val="32"/>
          <w:lang w:eastAsia="zh-CN"/>
        </w:rPr>
        <w:t>”</w:t>
      </w:r>
      <w:r>
        <w:rPr>
          <w:rFonts w:ascii="仿宋_GB2312" w:eastAsia="仿宋_GB2312"/>
          <w:b/>
          <w:sz w:val="32"/>
          <w:szCs w:val="32"/>
          <w:lang w:eastAsia="zh-CN"/>
        </w:rPr>
        <w:t>经费：</w:t>
      </w:r>
      <w:r>
        <w:rPr>
          <w:rFonts w:ascii="仿宋_GB2312" w:eastAsia="仿宋_GB2312"/>
          <w:sz w:val="32"/>
          <w:szCs w:val="32"/>
          <w:lang w:eastAsia="zh-CN"/>
        </w:rPr>
        <w:t>指用财政拨款安排的因公出国（境）费、公务用车购置及运行费和公务接待费。其中，因公出国（境）</w:t>
      </w:r>
      <w:proofErr w:type="gramStart"/>
      <w:r>
        <w:rPr>
          <w:rFonts w:ascii="仿宋_GB2312" w:eastAsia="仿宋_GB2312"/>
          <w:sz w:val="32"/>
          <w:szCs w:val="32"/>
          <w:lang w:eastAsia="zh-CN"/>
        </w:rPr>
        <w:t>费反映</w:t>
      </w:r>
      <w:proofErr w:type="gramEnd"/>
      <w:r>
        <w:rPr>
          <w:rFonts w:ascii="仿宋_GB2312" w:eastAsia="仿宋_GB2312"/>
          <w:sz w:val="32"/>
          <w:szCs w:val="32"/>
          <w:lang w:eastAsia="zh-CN"/>
        </w:rPr>
        <w:t>单位公务出国（境）的国际旅费、国外城市间交通费、住宿费、伙食费、培训费、公杂费等支出；公务用车购置反映公务用车购置支出（</w:t>
      </w:r>
      <w:proofErr w:type="gramStart"/>
      <w:r>
        <w:rPr>
          <w:rFonts w:ascii="仿宋_GB2312" w:eastAsia="仿宋_GB2312"/>
          <w:sz w:val="32"/>
          <w:szCs w:val="32"/>
          <w:lang w:eastAsia="zh-CN"/>
        </w:rPr>
        <w:t>含车辆</w:t>
      </w:r>
      <w:proofErr w:type="gramEnd"/>
      <w:r>
        <w:rPr>
          <w:rFonts w:ascii="仿宋_GB2312" w:eastAsia="仿宋_GB2312"/>
          <w:sz w:val="32"/>
          <w:szCs w:val="32"/>
          <w:lang w:eastAsia="zh-CN"/>
        </w:rPr>
        <w:t>购置税、牌照费）；公务用车运行维护费反映单位按规定保留的公务用车燃料费、维修费、过路过桥费、保险费、安全奖励费用等支出；公务接待</w:t>
      </w:r>
      <w:proofErr w:type="gramStart"/>
      <w:r>
        <w:rPr>
          <w:rFonts w:ascii="仿宋_GB2312" w:eastAsia="仿宋_GB2312"/>
          <w:sz w:val="32"/>
          <w:szCs w:val="32"/>
          <w:lang w:eastAsia="zh-CN"/>
        </w:rPr>
        <w:t>费反映</w:t>
      </w:r>
      <w:proofErr w:type="gramEnd"/>
      <w:r>
        <w:rPr>
          <w:rFonts w:ascii="仿宋_GB2312" w:eastAsia="仿宋_GB2312"/>
          <w:sz w:val="32"/>
          <w:szCs w:val="32"/>
          <w:lang w:eastAsia="zh-CN"/>
        </w:rPr>
        <w:t>单位按规定开支的各类公务接待（含外宾接待）费用。</w:t>
      </w:r>
    </w:p>
    <w:p w:rsidR="002B73E7" w:rsidRDefault="0043464A">
      <w:pPr>
        <w:spacing w:after="0" w:line="560" w:lineRule="exact"/>
        <w:ind w:firstLineChars="200" w:firstLine="643"/>
        <w:jc w:val="both"/>
        <w:rPr>
          <w:rFonts w:ascii="仿宋_GB2312" w:eastAsia="仿宋_GB2312"/>
          <w:sz w:val="32"/>
          <w:szCs w:val="32"/>
          <w:lang w:eastAsia="zh-CN"/>
        </w:rPr>
      </w:pPr>
      <w:r>
        <w:rPr>
          <w:rFonts w:ascii="仿宋_GB2312" w:eastAsia="仿宋_GB2312"/>
          <w:b/>
          <w:sz w:val="32"/>
          <w:szCs w:val="32"/>
          <w:lang w:eastAsia="zh-CN"/>
        </w:rPr>
        <w:t>十四、机关运行经费：</w:t>
      </w:r>
      <w:r>
        <w:rPr>
          <w:rFonts w:ascii="仿宋_GB2312" w:eastAsia="仿宋_GB2312"/>
          <w:sz w:val="32"/>
          <w:szCs w:val="32"/>
          <w:lang w:eastAsia="zh-CN"/>
        </w:rPr>
        <w:t>行政单位和参照公务员法管理的事业单位财政拨款基本支出中的公用经费支出。</w:t>
      </w:r>
    </w:p>
    <w:p w:rsidR="002B73E7" w:rsidRDefault="0043464A">
      <w:pPr>
        <w:spacing w:line="560" w:lineRule="exact"/>
        <w:ind w:firstLine="200"/>
        <w:rPr>
          <w:lang w:eastAsia="zh-CN"/>
        </w:rPr>
      </w:pPr>
      <w:r>
        <w:rPr>
          <w:sz w:val="0"/>
          <w:szCs w:val="0"/>
          <w:lang w:eastAsia="zh-CN"/>
        </w:rPr>
        <w:br w:type="page"/>
      </w:r>
    </w:p>
    <w:p w:rsidR="002B73E7" w:rsidRDefault="0043464A">
      <w:pPr>
        <w:spacing w:after="0" w:line="560" w:lineRule="exact"/>
        <w:ind w:firstLine="200"/>
        <w:jc w:val="center"/>
        <w:outlineLvl w:val="0"/>
        <w:rPr>
          <w:rFonts w:ascii="黑体" w:eastAsia="黑体"/>
          <w:sz w:val="32"/>
          <w:szCs w:val="32"/>
          <w:lang w:eastAsia="zh-CN"/>
        </w:rPr>
      </w:pPr>
      <w:r>
        <w:rPr>
          <w:rFonts w:ascii="黑体" w:eastAsia="黑体"/>
          <w:sz w:val="32"/>
          <w:szCs w:val="32"/>
          <w:lang w:eastAsia="zh-CN"/>
        </w:rPr>
        <w:lastRenderedPageBreak/>
        <w:t>第四部分 部门决算报表（见附表）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一、《收入支出决算总表》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二、《收入决算表》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三、《支出决算表》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四、《财政拨款收入支出决算总表》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五、《一般公共预算财政拨款支出决算表》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六、《一般公共预算财政拨款基本支出决算表》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七、《政府性基金预算财政拨款收入支出决算表》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八、《国有资本经营预算财政拨款收入支出决算表》</w:t>
      </w:r>
    </w:p>
    <w:p w:rsidR="002B73E7" w:rsidRDefault="0043464A">
      <w:pPr>
        <w:spacing w:after="0" w:line="560" w:lineRule="exact"/>
        <w:ind w:firstLineChars="200" w:firstLine="640"/>
        <w:outlineLvl w:val="1"/>
        <w:rPr>
          <w:rFonts w:ascii="仿宋_GB2312" w:eastAsia="仿宋_GB2312"/>
          <w:sz w:val="32"/>
          <w:szCs w:val="32"/>
          <w:lang w:eastAsia="zh-CN"/>
        </w:rPr>
      </w:pPr>
      <w:r>
        <w:rPr>
          <w:rFonts w:ascii="仿宋_GB2312" w:eastAsia="仿宋_GB2312"/>
          <w:sz w:val="32"/>
          <w:szCs w:val="32"/>
          <w:lang w:eastAsia="zh-CN"/>
        </w:rPr>
        <w:t>九、《财政拨款</w:t>
      </w:r>
      <w:r>
        <w:rPr>
          <w:rFonts w:ascii="仿宋_GB2312" w:eastAsia="仿宋_GB2312"/>
          <w:sz w:val="32"/>
          <w:szCs w:val="32"/>
          <w:lang w:eastAsia="zh-CN"/>
        </w:rPr>
        <w:t>“</w:t>
      </w:r>
      <w:r>
        <w:rPr>
          <w:rFonts w:ascii="仿宋_GB2312" w:eastAsia="仿宋_GB2312"/>
          <w:sz w:val="32"/>
          <w:szCs w:val="32"/>
          <w:lang w:eastAsia="zh-CN"/>
        </w:rPr>
        <w:t>三公</w:t>
      </w:r>
      <w:r>
        <w:rPr>
          <w:rFonts w:ascii="仿宋_GB2312" w:eastAsia="仿宋_GB2312"/>
          <w:sz w:val="32"/>
          <w:szCs w:val="32"/>
          <w:lang w:eastAsia="zh-CN"/>
        </w:rPr>
        <w:t>”</w:t>
      </w:r>
      <w:r>
        <w:rPr>
          <w:rFonts w:ascii="仿宋_GB2312" w:eastAsia="仿宋_GB2312"/>
          <w:sz w:val="32"/>
          <w:szCs w:val="32"/>
          <w:lang w:eastAsia="zh-CN"/>
        </w:rPr>
        <w:t>经费支出决算表》</w:t>
      </w:r>
    </w:p>
    <w:sectPr w:rsidR="002B73E7">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E7" w:rsidRDefault="0043464A">
      <w:pPr>
        <w:spacing w:line="240" w:lineRule="auto"/>
      </w:pPr>
      <w:r>
        <w:separator/>
      </w:r>
    </w:p>
  </w:endnote>
  <w:endnote w:type="continuationSeparator" w:id="0">
    <w:p w:rsidR="002B73E7" w:rsidRDefault="00434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C9" w:rsidRDefault="00804F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218903"/>
      <w:docPartObj>
        <w:docPartGallery w:val="Page Numbers (Bottom of Page)"/>
        <w:docPartUnique/>
      </w:docPartObj>
    </w:sdtPr>
    <w:sdtEndPr/>
    <w:sdtContent>
      <w:p w:rsidR="00804FC9" w:rsidRDefault="00804FC9">
        <w:pPr>
          <w:pStyle w:val="ac"/>
          <w:jc w:val="center"/>
        </w:pPr>
        <w:r>
          <w:fldChar w:fldCharType="begin"/>
        </w:r>
        <w:r>
          <w:instrText>PAGE   \* MERGEFORMAT</w:instrText>
        </w:r>
        <w:r>
          <w:fldChar w:fldCharType="separate"/>
        </w:r>
        <w:r w:rsidR="00523886" w:rsidRPr="00523886">
          <w:rPr>
            <w:noProof/>
            <w:lang w:val="zh-CN" w:eastAsia="zh-CN"/>
          </w:rPr>
          <w:t>17</w:t>
        </w:r>
        <w:r>
          <w:fldChar w:fldCharType="end"/>
        </w:r>
      </w:p>
    </w:sdtContent>
  </w:sdt>
  <w:p w:rsidR="00804FC9" w:rsidRDefault="00804FC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C9" w:rsidRDefault="00804F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E7" w:rsidRDefault="0043464A">
      <w:pPr>
        <w:spacing w:after="0"/>
      </w:pPr>
      <w:r>
        <w:separator/>
      </w:r>
    </w:p>
  </w:footnote>
  <w:footnote w:type="continuationSeparator" w:id="0">
    <w:p w:rsidR="002B73E7" w:rsidRDefault="004346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C9" w:rsidRDefault="00804F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C9" w:rsidRDefault="00804F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C9" w:rsidRDefault="00804F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docVars>
    <w:docVar w:name="commondata" w:val="eyJoZGlkIjoiYmFjOGU2NDA3Nzg1YThiMTYyYmQyN2JlMGEyOWQwYjgifQ=="/>
  </w:docVars>
  <w:rsids>
    <w:rsidRoot w:val="00414BA9"/>
    <w:rsid w:val="0002148D"/>
    <w:rsid w:val="000C0CE5"/>
    <w:rsid w:val="001179EF"/>
    <w:rsid w:val="001706E1"/>
    <w:rsid w:val="001B6B85"/>
    <w:rsid w:val="001E5FE5"/>
    <w:rsid w:val="00213F27"/>
    <w:rsid w:val="002B73E7"/>
    <w:rsid w:val="00323DE6"/>
    <w:rsid w:val="00325A79"/>
    <w:rsid w:val="00342AEB"/>
    <w:rsid w:val="003976DD"/>
    <w:rsid w:val="00414BA9"/>
    <w:rsid w:val="0043330C"/>
    <w:rsid w:val="0043464A"/>
    <w:rsid w:val="00454D90"/>
    <w:rsid w:val="004F198D"/>
    <w:rsid w:val="004F1C50"/>
    <w:rsid w:val="00523886"/>
    <w:rsid w:val="005F53CA"/>
    <w:rsid w:val="005F66EA"/>
    <w:rsid w:val="006230F7"/>
    <w:rsid w:val="006367E9"/>
    <w:rsid w:val="0067180E"/>
    <w:rsid w:val="006A0E2A"/>
    <w:rsid w:val="006D0FA4"/>
    <w:rsid w:val="006E5ADB"/>
    <w:rsid w:val="00701FF5"/>
    <w:rsid w:val="00765611"/>
    <w:rsid w:val="00776B3A"/>
    <w:rsid w:val="00777B3C"/>
    <w:rsid w:val="007B7677"/>
    <w:rsid w:val="00804FC9"/>
    <w:rsid w:val="008E7DE0"/>
    <w:rsid w:val="009D3026"/>
    <w:rsid w:val="00A63F6D"/>
    <w:rsid w:val="00A67D6A"/>
    <w:rsid w:val="00AA1FAE"/>
    <w:rsid w:val="00AB7C30"/>
    <w:rsid w:val="00AD60A9"/>
    <w:rsid w:val="00B553EC"/>
    <w:rsid w:val="00BA2907"/>
    <w:rsid w:val="00BF65F9"/>
    <w:rsid w:val="00C0051B"/>
    <w:rsid w:val="00C02F64"/>
    <w:rsid w:val="00C55209"/>
    <w:rsid w:val="00CA3FDA"/>
    <w:rsid w:val="00CE1B52"/>
    <w:rsid w:val="00D34B7D"/>
    <w:rsid w:val="00D53EE9"/>
    <w:rsid w:val="00D8282F"/>
    <w:rsid w:val="00DB45C8"/>
    <w:rsid w:val="00DC6DDF"/>
    <w:rsid w:val="00E11B07"/>
    <w:rsid w:val="00F1166B"/>
    <w:rsid w:val="00F844CB"/>
    <w:rsid w:val="00FF3A0E"/>
    <w:rsid w:val="00FF7215"/>
    <w:rsid w:val="37A56B30"/>
    <w:rsid w:val="3F3D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left="720"/>
    </w:pPr>
  </w:style>
  <w:style w:type="paragraph" w:styleId="a4">
    <w:name w:val="caption"/>
    <w:basedOn w:val="a"/>
    <w:next w:val="a"/>
    <w:uiPriority w:val="35"/>
    <w:semiHidden/>
    <w:unhideWhenUsed/>
    <w:qFormat/>
    <w:pPr>
      <w:spacing w:line="240" w:lineRule="auto"/>
    </w:pPr>
    <w:rPr>
      <w:b/>
      <w:bCs/>
      <w:color w:val="4F81BD" w:themeColor="accent1"/>
      <w:sz w:val="18"/>
      <w:szCs w:val="18"/>
    </w:rPr>
  </w:style>
  <w:style w:type="paragraph" w:styleId="a5">
    <w:name w:val="Balloon Text"/>
    <w:basedOn w:val="a"/>
    <w:link w:val="Char"/>
    <w:uiPriority w:val="99"/>
    <w:semiHidden/>
    <w:unhideWhenUsed/>
    <w:qFormat/>
    <w:pPr>
      <w:spacing w:after="0" w:line="240" w:lineRule="auto"/>
    </w:pPr>
    <w:rPr>
      <w:sz w:val="18"/>
      <w:szCs w:val="18"/>
    </w:rPr>
  </w:style>
  <w:style w:type="paragraph" w:styleId="a6">
    <w:name w:val="header"/>
    <w:basedOn w:val="a"/>
    <w:link w:val="Char0"/>
    <w:uiPriority w:val="99"/>
    <w:unhideWhenUsed/>
    <w:qFormat/>
    <w:pPr>
      <w:tabs>
        <w:tab w:val="center" w:pos="4680"/>
        <w:tab w:val="right" w:pos="9360"/>
      </w:tabs>
    </w:pPr>
  </w:style>
  <w:style w:type="paragraph" w:styleId="a7">
    <w:name w:val="Subtitle"/>
    <w:basedOn w:val="a"/>
    <w:next w:val="a"/>
    <w:link w:val="Char1"/>
    <w:uiPriority w:val="11"/>
    <w:qFormat/>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Char2"/>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customStyle="1" w:styleId="Char0">
    <w:name w:val="页眉 Char"/>
    <w:basedOn w:val="a0"/>
    <w:link w:val="a6"/>
    <w:uiPriority w:val="99"/>
    <w:qFormat/>
  </w:style>
  <w:style w:type="character" w:customStyle="1" w:styleId="1Char">
    <w:name w:val="标题 1 Char"/>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Pr>
      <w:rFonts w:asciiTheme="majorHAnsi" w:eastAsiaTheme="majorEastAsia" w:hAnsiTheme="majorHAnsi" w:cstheme="majorBidi"/>
      <w:b/>
      <w:bCs/>
      <w:i/>
      <w:iCs/>
      <w:color w:val="4F81BD" w:themeColor="accent1"/>
    </w:rPr>
  </w:style>
  <w:style w:type="character" w:customStyle="1" w:styleId="Char1">
    <w:name w:val="副标题 Char"/>
    <w:basedOn w:val="a0"/>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Char2">
    <w:name w:val="标题 Char"/>
    <w:basedOn w:val="a0"/>
    <w:link w:val="a8"/>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
    <w:name w:val="批注框文本 Char"/>
    <w:basedOn w:val="a0"/>
    <w:link w:val="a5"/>
    <w:uiPriority w:val="99"/>
    <w:semiHidden/>
    <w:qFormat/>
    <w:rPr>
      <w:sz w:val="18"/>
      <w:szCs w:val="18"/>
    </w:rPr>
  </w:style>
  <w:style w:type="paragraph" w:styleId="ac">
    <w:name w:val="footer"/>
    <w:basedOn w:val="a"/>
    <w:link w:val="Char3"/>
    <w:uiPriority w:val="99"/>
    <w:unhideWhenUsed/>
    <w:rsid w:val="00804FC9"/>
    <w:pPr>
      <w:tabs>
        <w:tab w:val="center" w:pos="4153"/>
        <w:tab w:val="right" w:pos="8306"/>
      </w:tabs>
      <w:snapToGrid w:val="0"/>
      <w:spacing w:line="240" w:lineRule="auto"/>
    </w:pPr>
    <w:rPr>
      <w:sz w:val="18"/>
      <w:szCs w:val="18"/>
    </w:rPr>
  </w:style>
  <w:style w:type="character" w:customStyle="1" w:styleId="Char3">
    <w:name w:val="页脚 Char"/>
    <w:basedOn w:val="a0"/>
    <w:link w:val="ac"/>
    <w:uiPriority w:val="99"/>
    <w:rsid w:val="00804FC9"/>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4776">
      <w:bodyDiv w:val="1"/>
      <w:marLeft w:val="0"/>
      <w:marRight w:val="0"/>
      <w:marTop w:val="0"/>
      <w:marBottom w:val="0"/>
      <w:divBdr>
        <w:top w:val="none" w:sz="0" w:space="0" w:color="auto"/>
        <w:left w:val="none" w:sz="0" w:space="0" w:color="auto"/>
        <w:bottom w:val="none" w:sz="0" w:space="0" w:color="auto"/>
        <w:right w:val="none" w:sz="0" w:space="0" w:color="auto"/>
      </w:divBdr>
    </w:div>
    <w:div w:id="148404594">
      <w:bodyDiv w:val="1"/>
      <w:marLeft w:val="0"/>
      <w:marRight w:val="0"/>
      <w:marTop w:val="0"/>
      <w:marBottom w:val="0"/>
      <w:divBdr>
        <w:top w:val="none" w:sz="0" w:space="0" w:color="auto"/>
        <w:left w:val="none" w:sz="0" w:space="0" w:color="auto"/>
        <w:bottom w:val="none" w:sz="0" w:space="0" w:color="auto"/>
        <w:right w:val="none" w:sz="0" w:space="0" w:color="auto"/>
      </w:divBdr>
    </w:div>
    <w:div w:id="466899366">
      <w:bodyDiv w:val="1"/>
      <w:marLeft w:val="0"/>
      <w:marRight w:val="0"/>
      <w:marTop w:val="0"/>
      <w:marBottom w:val="0"/>
      <w:divBdr>
        <w:top w:val="none" w:sz="0" w:space="0" w:color="auto"/>
        <w:left w:val="none" w:sz="0" w:space="0" w:color="auto"/>
        <w:bottom w:val="none" w:sz="0" w:space="0" w:color="auto"/>
        <w:right w:val="none" w:sz="0" w:space="0" w:color="auto"/>
      </w:divBdr>
    </w:div>
    <w:div w:id="538474490">
      <w:bodyDiv w:val="1"/>
      <w:marLeft w:val="0"/>
      <w:marRight w:val="0"/>
      <w:marTop w:val="0"/>
      <w:marBottom w:val="0"/>
      <w:divBdr>
        <w:top w:val="none" w:sz="0" w:space="0" w:color="auto"/>
        <w:left w:val="none" w:sz="0" w:space="0" w:color="auto"/>
        <w:bottom w:val="none" w:sz="0" w:space="0" w:color="auto"/>
        <w:right w:val="none" w:sz="0" w:space="0" w:color="auto"/>
      </w:divBdr>
    </w:div>
    <w:div w:id="783505164">
      <w:bodyDiv w:val="1"/>
      <w:marLeft w:val="0"/>
      <w:marRight w:val="0"/>
      <w:marTop w:val="0"/>
      <w:marBottom w:val="0"/>
      <w:divBdr>
        <w:top w:val="none" w:sz="0" w:space="0" w:color="auto"/>
        <w:left w:val="none" w:sz="0" w:space="0" w:color="auto"/>
        <w:bottom w:val="none" w:sz="0" w:space="0" w:color="auto"/>
        <w:right w:val="none" w:sz="0" w:space="0" w:color="auto"/>
      </w:divBdr>
    </w:div>
    <w:div w:id="956180579">
      <w:bodyDiv w:val="1"/>
      <w:marLeft w:val="0"/>
      <w:marRight w:val="0"/>
      <w:marTop w:val="0"/>
      <w:marBottom w:val="0"/>
      <w:divBdr>
        <w:top w:val="none" w:sz="0" w:space="0" w:color="auto"/>
        <w:left w:val="none" w:sz="0" w:space="0" w:color="auto"/>
        <w:bottom w:val="none" w:sz="0" w:space="0" w:color="auto"/>
        <w:right w:val="none" w:sz="0" w:space="0" w:color="auto"/>
      </w:divBdr>
    </w:div>
    <w:div w:id="1147355844">
      <w:bodyDiv w:val="1"/>
      <w:marLeft w:val="0"/>
      <w:marRight w:val="0"/>
      <w:marTop w:val="0"/>
      <w:marBottom w:val="0"/>
      <w:divBdr>
        <w:top w:val="none" w:sz="0" w:space="0" w:color="auto"/>
        <w:left w:val="none" w:sz="0" w:space="0" w:color="auto"/>
        <w:bottom w:val="none" w:sz="0" w:space="0" w:color="auto"/>
        <w:right w:val="none" w:sz="0" w:space="0" w:color="auto"/>
      </w:divBdr>
    </w:div>
    <w:div w:id="181911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17</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p:lastModifiedBy>
  <cp:revision>49</cp:revision>
  <dcterms:created xsi:type="dcterms:W3CDTF">2025-08-24T08:17:00Z</dcterms:created>
  <dcterms:modified xsi:type="dcterms:W3CDTF">2025-08-27T04:25:00Z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C933198EE44E4D59B0E91C82CBBE61DE_12</vt:lpwstr>
  </property>
</Properties>
</file>