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7E5FB">
      <w:pPr>
        <w:keepNext w:val="0"/>
        <w:keepLines w:val="0"/>
        <w:pageBreakBefore w:val="0"/>
        <w:widowControl w:val="0"/>
        <w:kinsoku/>
        <w:wordWrap/>
        <w:overflowPunct/>
        <w:topLinePunct w:val="0"/>
        <w:bidi w:val="0"/>
        <w:adjustRightInd/>
        <w:snapToGrid/>
        <w:spacing w:line="240" w:lineRule="auto"/>
        <w:textAlignment w:val="auto"/>
        <w:rPr>
          <w:rFonts w:hint="default" w:ascii="Times New Roman" w:hAnsi="Times New Roman" w:eastAsia="黑体"/>
          <w:sz w:val="32"/>
          <w:szCs w:val="32"/>
          <w:highlight w:val="none"/>
          <w:lang w:val="en-US" w:eastAsia="zh-CN"/>
        </w:rPr>
      </w:pPr>
    </w:p>
    <w:p w14:paraId="120B835F">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方正小标宋_GBK"/>
          <w:sz w:val="44"/>
          <w:szCs w:val="44"/>
          <w:highlight w:val="none"/>
        </w:rPr>
      </w:pPr>
    </w:p>
    <w:p w14:paraId="0062DB3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方正小标宋_GBK"/>
          <w:sz w:val="44"/>
          <w:szCs w:val="44"/>
          <w:highlight w:val="none"/>
        </w:rPr>
      </w:pPr>
    </w:p>
    <w:p w14:paraId="4282F5B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方正小标宋_GBK"/>
          <w:sz w:val="44"/>
          <w:szCs w:val="44"/>
          <w:highlight w:val="none"/>
        </w:rPr>
      </w:pPr>
    </w:p>
    <w:p w14:paraId="3F8AF88F">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方正小标宋_GBK"/>
          <w:sz w:val="44"/>
          <w:szCs w:val="44"/>
          <w:highlight w:val="none"/>
        </w:rPr>
      </w:pPr>
    </w:p>
    <w:p w14:paraId="519792A8">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方正小标宋_GBK"/>
          <w:sz w:val="44"/>
          <w:szCs w:val="44"/>
          <w:highlight w:val="none"/>
        </w:rPr>
      </w:pPr>
      <w:r>
        <w:rPr>
          <w:rFonts w:hint="eastAsia" w:ascii="Times New Roman" w:hAnsi="Times New Roman" w:eastAsia="方正小标宋_GBK"/>
          <w:sz w:val="44"/>
          <w:szCs w:val="44"/>
          <w:highlight w:val="none"/>
        </w:rPr>
        <w:t>新疆维吾尔自治区区外投资企业服务中心</w:t>
      </w:r>
      <w:r>
        <w:rPr>
          <w:rFonts w:hint="eastAsia" w:ascii="Times New Roman" w:hAnsi="Times New Roman" w:eastAsia="方正小标宋_GBK"/>
          <w:sz w:val="44"/>
          <w:szCs w:val="44"/>
          <w:highlight w:val="none"/>
          <w:lang w:eastAsia="zh-CN"/>
        </w:rPr>
        <w:t>20</w:t>
      </w:r>
      <w:r>
        <w:rPr>
          <w:rFonts w:hint="eastAsia" w:ascii="Times New Roman" w:hAnsi="Times New Roman" w:eastAsia="方正小标宋_GBK"/>
          <w:sz w:val="44"/>
          <w:szCs w:val="44"/>
          <w:highlight w:val="none"/>
          <w:lang w:val="en-US" w:eastAsia="zh-CN"/>
        </w:rPr>
        <w:t>2</w:t>
      </w:r>
      <w:r>
        <w:rPr>
          <w:rFonts w:hint="eastAsia" w:ascii="Times New Roman" w:hAnsi="Times New Roman" w:eastAsia="方正小标宋_GBK"/>
          <w:sz w:val="44"/>
          <w:szCs w:val="44"/>
          <w:highlight w:val="none"/>
          <w:lang w:eastAsia="zh-CN"/>
        </w:rPr>
        <w:t>4年度</w:t>
      </w:r>
      <w:r>
        <w:rPr>
          <w:rFonts w:hint="eastAsia" w:ascii="Times New Roman" w:hAnsi="Times New Roman" w:eastAsia="方正小标宋_GBK"/>
          <w:sz w:val="44"/>
          <w:szCs w:val="44"/>
          <w:highlight w:val="none"/>
        </w:rPr>
        <w:t>部门决算公开说明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仿宋_GB2312" w:cs="仿宋_GB2312"/>
          <w:b w:val="0"/>
          <w:bCs/>
          <w:kern w:val="0"/>
          <w:sz w:val="32"/>
          <w:szCs w:val="32"/>
          <w:highlight w:val="none"/>
        </w:rPr>
      </w:pPr>
      <w:r>
        <w:rPr>
          <w:rFonts w:hint="eastAsia" w:ascii="Times New Roman" w:hAnsi="Times New Roman" w:eastAsia="方正小标宋_GBK"/>
          <w:sz w:val="44"/>
          <w:szCs w:val="44"/>
          <w:highlight w:val="none"/>
        </w:rPr>
        <w:br w:type="page"/>
      </w:r>
      <w:r>
        <w:rPr>
          <w:rFonts w:hint="eastAsia" w:ascii="Times New Roman" w:hAnsi="Times New Roman"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TOC \o "1-3" \n  \h \u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
          <w:bCs/>
          <w:sz w:val="32"/>
          <w:szCs w:val="32"/>
          <w:highlight w:val="none"/>
        </w:rPr>
        <w:fldChar w:fldCharType="begin"/>
      </w:r>
      <w:r>
        <w:rPr>
          <w:rFonts w:hint="eastAsia" w:ascii="Times New Roman" w:hAnsi="Times New Roman" w:eastAsia="仿宋_GB2312" w:cs="仿宋_GB2312"/>
          <w:b/>
          <w:bCs/>
          <w:sz w:val="32"/>
          <w:szCs w:val="32"/>
          <w:highlight w:val="none"/>
        </w:rPr>
        <w:instrText xml:space="preserve"> HYPERLINK \l _Toc31918 </w:instrText>
      </w:r>
      <w:r>
        <w:rPr>
          <w:rFonts w:hint="eastAsia" w:ascii="Times New Roman" w:hAnsi="Times New Roman" w:eastAsia="仿宋_GB2312" w:cs="仿宋_GB2312"/>
          <w:b/>
          <w:bCs/>
          <w:sz w:val="32"/>
          <w:szCs w:val="32"/>
          <w:highlight w:val="none"/>
        </w:rPr>
        <w:fldChar w:fldCharType="separate"/>
      </w:r>
      <w:r>
        <w:rPr>
          <w:rFonts w:hint="eastAsia" w:ascii="Times New Roman" w:hAnsi="Times New Roman" w:eastAsia="仿宋_GB2312" w:cs="仿宋_GB2312"/>
          <w:b/>
          <w:bCs/>
          <w:sz w:val="32"/>
          <w:szCs w:val="32"/>
          <w:highlight w:val="none"/>
        </w:rPr>
        <w:t>第一部分 单位概况</w:t>
      </w:r>
      <w:r>
        <w:rPr>
          <w:rFonts w:hint="eastAsia" w:ascii="Times New Roman" w:hAnsi="Times New Roman"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_Toc2898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rPr>
        <w:t>一、主要职能</w:t>
      </w:r>
      <w:r>
        <w:rPr>
          <w:rFonts w:hint="eastAsia" w:ascii="Times New Roman" w:hAnsi="Times New Roman"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_Toc1387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rPr>
        <w:t>二、机构设置</w:t>
      </w:r>
      <w:r>
        <w:rPr>
          <w:rFonts w:hint="eastAsia" w:ascii="Times New Roman" w:hAnsi="Times New Roman" w:eastAsia="仿宋_GB2312" w:cs="仿宋_GB2312"/>
          <w:bCs/>
          <w:kern w:val="0"/>
          <w:sz w:val="32"/>
          <w:szCs w:val="32"/>
          <w:highlight w:val="none"/>
          <w:lang w:eastAsia="zh-CN"/>
        </w:rPr>
        <w:t>及人员</w:t>
      </w:r>
      <w:r>
        <w:rPr>
          <w:rFonts w:hint="eastAsia" w:ascii="Times New Roman" w:hAnsi="Times New Roman" w:eastAsia="仿宋_GB2312" w:cs="仿宋_GB2312"/>
          <w:bCs/>
          <w:kern w:val="0"/>
          <w:sz w:val="32"/>
          <w:szCs w:val="32"/>
          <w:highlight w:val="none"/>
        </w:rPr>
        <w:t>情况</w:t>
      </w:r>
      <w:r>
        <w:rPr>
          <w:rFonts w:hint="eastAsia" w:ascii="Times New Roman" w:hAnsi="Times New Roman"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b/>
          <w:bCs/>
          <w:sz w:val="32"/>
          <w:szCs w:val="32"/>
          <w:highlight w:val="none"/>
        </w:rPr>
      </w:pPr>
      <w:r>
        <w:rPr>
          <w:rFonts w:hint="eastAsia" w:ascii="Times New Roman" w:hAnsi="Times New Roman" w:eastAsia="仿宋_GB2312" w:cs="仿宋_GB2312"/>
          <w:b/>
          <w:bCs/>
          <w:sz w:val="32"/>
          <w:szCs w:val="32"/>
          <w:highlight w:val="none"/>
        </w:rPr>
        <w:fldChar w:fldCharType="begin"/>
      </w:r>
      <w:r>
        <w:rPr>
          <w:rFonts w:hint="eastAsia" w:ascii="Times New Roman" w:hAnsi="Times New Roman" w:eastAsia="仿宋_GB2312" w:cs="仿宋_GB2312"/>
          <w:b/>
          <w:bCs/>
          <w:sz w:val="32"/>
          <w:szCs w:val="32"/>
          <w:highlight w:val="none"/>
        </w:rPr>
        <w:instrText xml:space="preserve"> HYPERLINK \l _Toc7559 </w:instrText>
      </w:r>
      <w:r>
        <w:rPr>
          <w:rFonts w:hint="eastAsia" w:ascii="Times New Roman" w:hAnsi="Times New Roman" w:eastAsia="仿宋_GB2312" w:cs="仿宋_GB2312"/>
          <w:b/>
          <w:bCs/>
          <w:sz w:val="32"/>
          <w:szCs w:val="32"/>
          <w:highlight w:val="none"/>
        </w:rPr>
        <w:fldChar w:fldCharType="separate"/>
      </w:r>
      <w:r>
        <w:rPr>
          <w:rFonts w:hint="eastAsia" w:ascii="Times New Roman" w:hAnsi="Times New Roman" w:eastAsia="仿宋_GB2312" w:cs="仿宋_GB2312"/>
          <w:b/>
          <w:bCs/>
          <w:sz w:val="32"/>
          <w:szCs w:val="32"/>
          <w:highlight w:val="none"/>
        </w:rPr>
        <w:t>第</w:t>
      </w:r>
      <w:r>
        <w:rPr>
          <w:rFonts w:hint="eastAsia" w:ascii="Times New Roman" w:hAnsi="Times New Roman" w:eastAsia="仿宋_GB2312" w:cs="仿宋_GB2312"/>
          <w:b/>
          <w:bCs/>
          <w:sz w:val="32"/>
          <w:szCs w:val="32"/>
          <w:highlight w:val="none"/>
          <w:lang w:val="en-US" w:eastAsia="zh-CN"/>
        </w:rPr>
        <w:t>二</w:t>
      </w:r>
      <w:r>
        <w:rPr>
          <w:rFonts w:hint="eastAsia" w:ascii="Times New Roman" w:hAnsi="Times New Roman" w:eastAsia="仿宋_GB2312" w:cs="仿宋_GB2312"/>
          <w:b/>
          <w:bCs/>
          <w:sz w:val="32"/>
          <w:szCs w:val="32"/>
          <w:highlight w:val="none"/>
        </w:rPr>
        <w:t>部分 部门决算情况说明</w:t>
      </w:r>
      <w:r>
        <w:rPr>
          <w:rFonts w:hint="eastAsia" w:ascii="Times New Roman" w:hAnsi="Times New Roman"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_Toc6321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rPr>
        <w:t>一、收入支出决算总体情况说明</w:t>
      </w:r>
      <w:r>
        <w:rPr>
          <w:rFonts w:hint="eastAsia" w:ascii="Times New Roman" w:hAnsi="Times New Roman"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_Toc6311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lang w:eastAsia="zh-CN"/>
        </w:rPr>
        <w:t>二、</w:t>
      </w:r>
      <w:r>
        <w:rPr>
          <w:rFonts w:hint="eastAsia" w:ascii="Times New Roman" w:hAnsi="Times New Roman" w:eastAsia="仿宋_GB2312" w:cs="仿宋_GB2312"/>
          <w:bCs/>
          <w:kern w:val="0"/>
          <w:sz w:val="32"/>
          <w:szCs w:val="32"/>
          <w:highlight w:val="none"/>
        </w:rPr>
        <w:t>收入</w:t>
      </w:r>
      <w:r>
        <w:rPr>
          <w:rFonts w:hint="eastAsia" w:ascii="Times New Roman" w:hAnsi="Times New Roman" w:eastAsia="仿宋_GB2312" w:cs="仿宋_GB2312"/>
          <w:bCs/>
          <w:kern w:val="0"/>
          <w:sz w:val="32"/>
          <w:szCs w:val="32"/>
          <w:highlight w:val="none"/>
          <w:lang w:eastAsia="zh-CN"/>
        </w:rPr>
        <w:t>决算</w:t>
      </w:r>
      <w:r>
        <w:rPr>
          <w:rFonts w:hint="eastAsia" w:ascii="Times New Roman" w:hAnsi="Times New Roman" w:eastAsia="仿宋_GB2312" w:cs="仿宋_GB2312"/>
          <w:bCs/>
          <w:kern w:val="0"/>
          <w:sz w:val="32"/>
          <w:szCs w:val="32"/>
          <w:highlight w:val="none"/>
        </w:rPr>
        <w:t>情况说明</w:t>
      </w:r>
      <w:r>
        <w:rPr>
          <w:rFonts w:hint="eastAsia" w:ascii="Times New Roman" w:hAnsi="Times New Roman"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_Toc20629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lang w:eastAsia="zh-CN"/>
        </w:rPr>
        <w:t>三、支出决算情况说明</w:t>
      </w:r>
      <w:r>
        <w:rPr>
          <w:rFonts w:hint="eastAsia" w:ascii="Times New Roman" w:hAnsi="Times New Roman"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_Toc7371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lang w:eastAsia="zh-CN"/>
        </w:rPr>
        <w:t>四、财政拨款收入支出决算总体情况说明</w:t>
      </w:r>
      <w:r>
        <w:rPr>
          <w:rFonts w:hint="eastAsia" w:ascii="Times New Roman" w:hAnsi="Times New Roman"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_Toc18905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lang w:eastAsia="zh-CN"/>
        </w:rPr>
        <w:t>五、一般公共预算财政拨款支出决算情况说明</w:t>
      </w:r>
      <w:r>
        <w:rPr>
          <w:rFonts w:hint="eastAsia" w:ascii="Times New Roman" w:hAnsi="Times New Roman"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_Toc1165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eastAsia="zh-CN"/>
        </w:rPr>
        <w:t>（一）一般公共预算财政拨款支出决算总体情况</w:t>
      </w:r>
      <w:r>
        <w:rPr>
          <w:rFonts w:hint="eastAsia" w:ascii="Times New Roman" w:hAnsi="Times New Roman"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_Toc27147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eastAsia="zh-CN"/>
        </w:rPr>
        <w:t>（二）一般公共预算</w:t>
      </w:r>
      <w:r>
        <w:rPr>
          <w:rFonts w:hint="eastAsia" w:ascii="Times New Roman" w:hAnsi="Times New Roman" w:eastAsia="仿宋_GB2312" w:cs="仿宋_GB2312"/>
          <w:sz w:val="32"/>
          <w:szCs w:val="32"/>
          <w:highlight w:val="none"/>
          <w:lang w:val="en-US" w:eastAsia="zh-CN"/>
        </w:rPr>
        <w:t>财政拨款支出决算</w:t>
      </w:r>
      <w:r>
        <w:rPr>
          <w:rFonts w:hint="eastAsia" w:ascii="Times New Roman" w:hAnsi="Times New Roman" w:eastAsia="仿宋_GB2312" w:cs="仿宋_GB2312"/>
          <w:sz w:val="32"/>
          <w:szCs w:val="32"/>
          <w:highlight w:val="none"/>
          <w:lang w:eastAsia="zh-CN"/>
        </w:rPr>
        <w:t>结构情况</w:t>
      </w:r>
      <w:r>
        <w:rPr>
          <w:rFonts w:hint="eastAsia" w:ascii="Times New Roman" w:hAnsi="Times New Roman"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_Toc10037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eastAsia="zh-CN"/>
        </w:rPr>
        <w:t>（三）一般公共预算财政拨款支出决算具体情况</w:t>
      </w:r>
      <w:r>
        <w:rPr>
          <w:rFonts w:hint="eastAsia" w:ascii="Times New Roman" w:hAnsi="Times New Roman"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_Toc23415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lang w:eastAsia="zh-CN"/>
        </w:rPr>
        <w:t>六、一般公共预算财政拨款基本支出决算情况说明</w:t>
      </w:r>
      <w:r>
        <w:rPr>
          <w:rFonts w:hint="eastAsia" w:ascii="Times New Roman" w:hAnsi="Times New Roman"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_Toc7523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lang w:val="en-US" w:eastAsia="zh-CN"/>
        </w:rPr>
        <w:t>七、</w:t>
      </w:r>
      <w:r>
        <w:rPr>
          <w:rFonts w:hint="eastAsia" w:ascii="Times New Roman" w:hAnsi="Times New Roman" w:eastAsia="仿宋_GB2312" w:cs="仿宋_GB2312"/>
          <w:bCs/>
          <w:kern w:val="0"/>
          <w:sz w:val="32"/>
          <w:szCs w:val="32"/>
          <w:highlight w:val="none"/>
          <w:lang w:eastAsia="zh-CN"/>
        </w:rPr>
        <w:t>政府性基金预算财政拨款收入支出决算情况说明</w:t>
      </w:r>
      <w:r>
        <w:rPr>
          <w:rFonts w:hint="eastAsia" w:ascii="Times New Roman" w:hAnsi="Times New Roman"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_Toc5563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lang w:val="en-US" w:eastAsia="zh-CN"/>
        </w:rPr>
        <w:t>八</w:t>
      </w:r>
      <w:r>
        <w:rPr>
          <w:rFonts w:hint="eastAsia" w:ascii="Times New Roman" w:hAnsi="Times New Roman" w:eastAsia="仿宋_GB2312" w:cs="仿宋_GB2312"/>
          <w:bCs/>
          <w:kern w:val="0"/>
          <w:sz w:val="32"/>
          <w:szCs w:val="32"/>
          <w:highlight w:val="none"/>
          <w:lang w:eastAsia="zh-CN"/>
        </w:rPr>
        <w:t>、国有资本经营预算财政拨款收入支出决算情况说明</w:t>
      </w:r>
      <w:r>
        <w:rPr>
          <w:rFonts w:hint="eastAsia" w:ascii="Times New Roman" w:hAnsi="Times New Roman"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_Toc9161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lang w:val="en-US" w:eastAsia="zh-CN"/>
        </w:rPr>
        <w:t>九</w:t>
      </w:r>
      <w:r>
        <w:rPr>
          <w:rFonts w:hint="eastAsia" w:ascii="Times New Roman" w:hAnsi="Times New Roman" w:eastAsia="仿宋_GB2312" w:cs="仿宋_GB2312"/>
          <w:bCs/>
          <w:kern w:val="0"/>
          <w:sz w:val="32"/>
          <w:szCs w:val="32"/>
          <w:highlight w:val="none"/>
          <w:lang w:eastAsia="zh-CN"/>
        </w:rPr>
        <w:t>、财政拨款</w:t>
      </w:r>
      <w:r>
        <w:rPr>
          <w:rFonts w:hint="eastAsia" w:ascii="Times New Roman" w:hAnsi="Times New Roman" w:eastAsia="仿宋_GB2312" w:cs="仿宋_GB2312"/>
          <w:bCs/>
          <w:kern w:val="0"/>
          <w:sz w:val="32"/>
          <w:szCs w:val="32"/>
          <w:highlight w:val="none"/>
        </w:rPr>
        <w:t>“三公”经费支出</w:t>
      </w:r>
      <w:r>
        <w:rPr>
          <w:rFonts w:hint="eastAsia" w:ascii="Times New Roman" w:hAnsi="Times New Roman" w:eastAsia="仿宋_GB2312" w:cs="仿宋_GB2312"/>
          <w:bCs/>
          <w:kern w:val="0"/>
          <w:sz w:val="32"/>
          <w:szCs w:val="32"/>
          <w:highlight w:val="none"/>
          <w:lang w:eastAsia="zh-CN"/>
        </w:rPr>
        <w:t>决算</w:t>
      </w:r>
      <w:r>
        <w:rPr>
          <w:rFonts w:hint="eastAsia" w:ascii="Times New Roman" w:hAnsi="Times New Roman" w:eastAsia="仿宋_GB2312" w:cs="仿宋_GB2312"/>
          <w:bCs/>
          <w:kern w:val="0"/>
          <w:sz w:val="32"/>
          <w:szCs w:val="32"/>
          <w:highlight w:val="none"/>
        </w:rPr>
        <w:t>情况</w:t>
      </w:r>
      <w:r>
        <w:rPr>
          <w:rFonts w:hint="eastAsia" w:ascii="Times New Roman" w:hAnsi="Times New Roman" w:eastAsia="仿宋_GB2312" w:cs="仿宋_GB2312"/>
          <w:bCs/>
          <w:kern w:val="0"/>
          <w:sz w:val="32"/>
          <w:szCs w:val="32"/>
          <w:highlight w:val="none"/>
          <w:lang w:eastAsia="zh-CN"/>
        </w:rPr>
        <w:t>说明</w:t>
      </w:r>
      <w:r>
        <w:rPr>
          <w:rFonts w:hint="eastAsia" w:ascii="Times New Roman" w:hAnsi="Times New Roman"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_Toc16395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lang w:eastAsia="zh-CN"/>
        </w:rPr>
        <w:t>十</w:t>
      </w:r>
      <w:r>
        <w:rPr>
          <w:rFonts w:hint="eastAsia" w:ascii="Times New Roman" w:hAnsi="Times New Roman" w:eastAsia="仿宋_GB2312" w:cs="仿宋_GB2312"/>
          <w:bCs/>
          <w:kern w:val="0"/>
          <w:sz w:val="32"/>
          <w:szCs w:val="32"/>
          <w:highlight w:val="none"/>
        </w:rPr>
        <w:t>、其他重要事项的情况</w:t>
      </w:r>
      <w:r>
        <w:rPr>
          <w:rFonts w:hint="eastAsia" w:ascii="Times New Roman" w:hAnsi="Times New Roman" w:eastAsia="仿宋_GB2312" w:cs="仿宋_GB2312"/>
          <w:bCs/>
          <w:kern w:val="0"/>
          <w:sz w:val="32"/>
          <w:szCs w:val="32"/>
          <w:highlight w:val="none"/>
          <w:lang w:eastAsia="zh-CN"/>
        </w:rPr>
        <w:t>说明</w:t>
      </w:r>
      <w:r>
        <w:rPr>
          <w:rFonts w:hint="eastAsia" w:ascii="Times New Roman" w:hAnsi="Times New Roman"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_Toc21748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eastAsia="zh-CN"/>
        </w:rPr>
        <w:t>（一）</w:t>
      </w:r>
      <w:r>
        <w:rPr>
          <w:rFonts w:hint="eastAsia" w:ascii="Times New Roman" w:hAnsi="Times New Roman" w:eastAsia="仿宋_GB2312" w:cs="仿宋_GB2312"/>
          <w:sz w:val="32"/>
          <w:szCs w:val="32"/>
          <w:highlight w:val="none"/>
        </w:rPr>
        <w:t>机关运行经费</w:t>
      </w:r>
      <w:r>
        <w:rPr>
          <w:rFonts w:hint="eastAsia" w:ascii="Times New Roman" w:hAnsi="Times New Roman" w:eastAsia="仿宋_GB2312" w:cs="仿宋_GB2312"/>
          <w:sz w:val="32"/>
          <w:szCs w:val="32"/>
          <w:highlight w:val="none"/>
          <w:lang w:val="en-US" w:eastAsia="zh-CN"/>
        </w:rPr>
        <w:t>及公用经费</w:t>
      </w:r>
      <w:r>
        <w:rPr>
          <w:rFonts w:hint="eastAsia" w:ascii="Times New Roman" w:hAnsi="Times New Roman" w:eastAsia="仿宋_GB2312" w:cs="仿宋_GB2312"/>
          <w:sz w:val="32"/>
          <w:szCs w:val="32"/>
          <w:highlight w:val="none"/>
        </w:rPr>
        <w:t>支出情况</w:t>
      </w:r>
      <w:r>
        <w:rPr>
          <w:rFonts w:hint="eastAsia" w:ascii="Times New Roman" w:hAnsi="Times New Roman"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_Toc25177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eastAsia="zh-CN"/>
        </w:rPr>
        <w:t>（二）政府采购情况</w:t>
      </w:r>
      <w:r>
        <w:rPr>
          <w:rFonts w:hint="eastAsia" w:ascii="Times New Roman" w:hAnsi="Times New Roman"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_Toc31294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sz w:val="32"/>
          <w:szCs w:val="32"/>
          <w:highlight w:val="none"/>
          <w:lang w:eastAsia="zh-CN"/>
        </w:rPr>
        <w:t>（三）国有资产占用情况说明</w:t>
      </w:r>
      <w:r>
        <w:rPr>
          <w:rFonts w:hint="eastAsia" w:ascii="Times New Roman" w:hAnsi="Times New Roman"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_Toc17664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lang w:eastAsia="zh-CN"/>
        </w:rPr>
        <w:t>十</w:t>
      </w:r>
      <w:r>
        <w:rPr>
          <w:rFonts w:hint="eastAsia" w:ascii="Times New Roman" w:hAnsi="Times New Roman" w:eastAsia="仿宋_GB2312" w:cs="仿宋_GB2312"/>
          <w:bCs/>
          <w:kern w:val="0"/>
          <w:sz w:val="32"/>
          <w:szCs w:val="32"/>
          <w:highlight w:val="none"/>
          <w:lang w:val="en-US" w:eastAsia="zh-CN"/>
        </w:rPr>
        <w:t>一</w:t>
      </w:r>
      <w:r>
        <w:rPr>
          <w:rFonts w:hint="eastAsia" w:ascii="Times New Roman" w:hAnsi="Times New Roman" w:eastAsia="仿宋_GB2312" w:cs="仿宋_GB2312"/>
          <w:bCs/>
          <w:kern w:val="0"/>
          <w:sz w:val="32"/>
          <w:szCs w:val="32"/>
          <w:highlight w:val="none"/>
          <w:lang w:eastAsia="zh-CN"/>
        </w:rPr>
        <w:t>、预算绩效的情况说明</w:t>
      </w:r>
      <w:r>
        <w:rPr>
          <w:rFonts w:hint="eastAsia" w:ascii="Times New Roman" w:hAnsi="Times New Roman" w:eastAsia="仿宋_GB2312" w:cs="仿宋_GB2312"/>
          <w:sz w:val="32"/>
          <w:szCs w:val="32"/>
          <w:highlight w:val="none"/>
        </w:rPr>
        <w:fldChar w:fldCharType="end"/>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b/>
          <w:bCs/>
          <w:sz w:val="32"/>
          <w:szCs w:val="32"/>
          <w:highlight w:val="none"/>
        </w:rPr>
      </w:pPr>
      <w:r>
        <w:rPr>
          <w:rFonts w:hint="eastAsia" w:ascii="Times New Roman" w:hAnsi="Times New Roman" w:eastAsia="仿宋_GB2312" w:cs="仿宋_GB2312"/>
          <w:b/>
          <w:bCs/>
          <w:sz w:val="32"/>
          <w:szCs w:val="32"/>
          <w:highlight w:val="none"/>
        </w:rPr>
        <w:fldChar w:fldCharType="begin"/>
      </w:r>
      <w:r>
        <w:rPr>
          <w:rFonts w:hint="eastAsia" w:ascii="Times New Roman" w:hAnsi="Times New Roman" w:eastAsia="仿宋_GB2312" w:cs="仿宋_GB2312"/>
          <w:b/>
          <w:bCs/>
          <w:sz w:val="32"/>
          <w:szCs w:val="32"/>
          <w:highlight w:val="none"/>
        </w:rPr>
        <w:instrText xml:space="preserve"> HYPERLINK \l _Toc30038 </w:instrText>
      </w:r>
      <w:r>
        <w:rPr>
          <w:rFonts w:hint="eastAsia" w:ascii="Times New Roman" w:hAnsi="Times New Roman" w:eastAsia="仿宋_GB2312" w:cs="仿宋_GB2312"/>
          <w:b/>
          <w:bCs/>
          <w:sz w:val="32"/>
          <w:szCs w:val="32"/>
          <w:highlight w:val="none"/>
        </w:rPr>
        <w:fldChar w:fldCharType="separate"/>
      </w:r>
      <w:r>
        <w:rPr>
          <w:rFonts w:hint="eastAsia" w:ascii="Times New Roman" w:hAnsi="Times New Roman" w:eastAsia="仿宋_GB2312" w:cs="仿宋_GB2312"/>
          <w:b/>
          <w:bCs/>
          <w:sz w:val="32"/>
          <w:szCs w:val="32"/>
          <w:highlight w:val="none"/>
        </w:rPr>
        <w:t>第</w:t>
      </w:r>
      <w:r>
        <w:rPr>
          <w:rFonts w:hint="eastAsia" w:ascii="Times New Roman" w:hAnsi="Times New Roman" w:eastAsia="仿宋_GB2312" w:cs="仿宋_GB2312"/>
          <w:b/>
          <w:bCs/>
          <w:sz w:val="32"/>
          <w:szCs w:val="32"/>
          <w:highlight w:val="none"/>
          <w:lang w:val="en-US" w:eastAsia="zh-CN"/>
        </w:rPr>
        <w:t>三</w:t>
      </w:r>
      <w:r>
        <w:rPr>
          <w:rFonts w:hint="eastAsia" w:ascii="Times New Roman" w:hAnsi="Times New Roman" w:eastAsia="仿宋_GB2312" w:cs="仿宋_GB2312"/>
          <w:b/>
          <w:bCs/>
          <w:sz w:val="32"/>
          <w:szCs w:val="32"/>
          <w:highlight w:val="none"/>
        </w:rPr>
        <w:t>部分 专业名词解释</w:t>
      </w:r>
      <w:r>
        <w:rPr>
          <w:rFonts w:hint="eastAsia" w:ascii="Times New Roman" w:hAnsi="Times New Roman"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b/>
          <w:bCs/>
          <w:sz w:val="32"/>
          <w:szCs w:val="32"/>
          <w:highlight w:val="none"/>
        </w:rPr>
      </w:pPr>
      <w:r>
        <w:rPr>
          <w:rFonts w:hint="eastAsia" w:ascii="Times New Roman" w:hAnsi="Times New Roman" w:eastAsia="仿宋_GB2312" w:cs="仿宋_GB2312"/>
          <w:b/>
          <w:bCs/>
          <w:sz w:val="32"/>
          <w:szCs w:val="32"/>
          <w:highlight w:val="none"/>
        </w:rPr>
        <w:fldChar w:fldCharType="begin"/>
      </w:r>
      <w:r>
        <w:rPr>
          <w:rFonts w:hint="eastAsia" w:ascii="Times New Roman" w:hAnsi="Times New Roman" w:eastAsia="仿宋_GB2312" w:cs="仿宋_GB2312"/>
          <w:b/>
          <w:bCs/>
          <w:sz w:val="32"/>
          <w:szCs w:val="32"/>
          <w:highlight w:val="none"/>
        </w:rPr>
        <w:instrText xml:space="preserve"> HYPERLINK \l _Toc6831 </w:instrText>
      </w:r>
      <w:r>
        <w:rPr>
          <w:rFonts w:hint="eastAsia" w:ascii="Times New Roman" w:hAnsi="Times New Roman" w:eastAsia="仿宋_GB2312" w:cs="仿宋_GB2312"/>
          <w:b/>
          <w:bCs/>
          <w:sz w:val="32"/>
          <w:szCs w:val="32"/>
          <w:highlight w:val="none"/>
        </w:rPr>
        <w:fldChar w:fldCharType="separate"/>
      </w:r>
      <w:r>
        <w:rPr>
          <w:rFonts w:hint="eastAsia" w:ascii="Times New Roman" w:hAnsi="Times New Roman" w:eastAsia="仿宋_GB2312" w:cs="仿宋_GB2312"/>
          <w:b/>
          <w:bCs/>
          <w:sz w:val="32"/>
          <w:szCs w:val="32"/>
          <w:highlight w:val="none"/>
        </w:rPr>
        <w:t>第四部分 部门决算报表（见附表）</w:t>
      </w:r>
      <w:r>
        <w:rPr>
          <w:rFonts w:hint="eastAsia" w:ascii="Times New Roman" w:hAnsi="Times New Roman"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_Toc3845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rPr>
        <w:t>一、《收入支出决算总表》</w:t>
      </w:r>
      <w:r>
        <w:rPr>
          <w:rFonts w:hint="eastAsia" w:ascii="Times New Roman" w:hAnsi="Times New Roman"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_Toc11927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rPr>
        <w:t>二、《收入决算表》</w:t>
      </w:r>
      <w:r>
        <w:rPr>
          <w:rFonts w:hint="eastAsia" w:ascii="Times New Roman" w:hAnsi="Times New Roman"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_Toc7443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rPr>
        <w:t>三、《支出决算表》</w:t>
      </w:r>
      <w:r>
        <w:rPr>
          <w:rFonts w:hint="eastAsia" w:ascii="Times New Roman" w:hAnsi="Times New Roman"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_Toc24884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rPr>
        <w:t>四、《财政拨款收入支出决算总表》</w:t>
      </w:r>
      <w:r>
        <w:rPr>
          <w:rFonts w:hint="eastAsia" w:ascii="Times New Roman" w:hAnsi="Times New Roman"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_Toc16518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rPr>
        <w:t>五、《一般公共预算财政拨款支出决算表》</w:t>
      </w:r>
      <w:r>
        <w:rPr>
          <w:rFonts w:hint="eastAsia" w:ascii="Times New Roman" w:hAnsi="Times New Roman"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_Toc20514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rPr>
        <w:t>六、《一般公共预算财政拨款基本支出决算表》</w:t>
      </w:r>
      <w:r>
        <w:rPr>
          <w:rFonts w:hint="eastAsia" w:ascii="Times New Roman" w:hAnsi="Times New Roman"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_Toc18055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rPr>
        <w:t>七、《政府性基金预算财政拨款收入支出决算表》</w:t>
      </w:r>
      <w:r>
        <w:rPr>
          <w:rFonts w:hint="eastAsia" w:ascii="Times New Roman" w:hAnsi="Times New Roman"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_Toc10719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rPr>
        <w:t>八、《</w:t>
      </w:r>
      <w:r>
        <w:rPr>
          <w:rFonts w:hint="eastAsia" w:ascii="Times New Roman" w:hAnsi="Times New Roman" w:eastAsia="仿宋_GB2312" w:cs="仿宋_GB2312"/>
          <w:bCs/>
          <w:kern w:val="0"/>
          <w:sz w:val="32"/>
          <w:szCs w:val="32"/>
          <w:highlight w:val="none"/>
          <w:lang w:eastAsia="zh-CN"/>
        </w:rPr>
        <w:t>国有资本经营</w:t>
      </w:r>
      <w:r>
        <w:rPr>
          <w:rFonts w:hint="eastAsia" w:ascii="Times New Roman" w:hAnsi="Times New Roman" w:eastAsia="仿宋_GB2312" w:cs="仿宋_GB2312"/>
          <w:bCs/>
          <w:kern w:val="0"/>
          <w:sz w:val="32"/>
          <w:szCs w:val="32"/>
          <w:highlight w:val="none"/>
        </w:rPr>
        <w:t>预算财政拨款收入支出决算表》</w:t>
      </w:r>
      <w:r>
        <w:rPr>
          <w:rFonts w:hint="eastAsia" w:ascii="Times New Roman" w:hAnsi="Times New Roman"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fldChar w:fldCharType="begin"/>
      </w:r>
      <w:r>
        <w:rPr>
          <w:rFonts w:hint="eastAsia" w:ascii="Times New Roman" w:hAnsi="Times New Roman" w:eastAsia="仿宋_GB2312" w:cs="仿宋_GB2312"/>
          <w:sz w:val="32"/>
          <w:szCs w:val="32"/>
          <w:highlight w:val="none"/>
        </w:rPr>
        <w:instrText xml:space="preserve"> HYPERLINK \l _Toc18861 </w:instrText>
      </w:r>
      <w:r>
        <w:rPr>
          <w:rFonts w:hint="eastAsia" w:ascii="Times New Roman" w:hAnsi="Times New Roman" w:eastAsia="仿宋_GB2312" w:cs="仿宋_GB2312"/>
          <w:sz w:val="32"/>
          <w:szCs w:val="32"/>
          <w:highlight w:val="none"/>
        </w:rPr>
        <w:fldChar w:fldCharType="separate"/>
      </w:r>
      <w:r>
        <w:rPr>
          <w:rFonts w:hint="eastAsia" w:ascii="Times New Roman" w:hAnsi="Times New Roman" w:eastAsia="仿宋_GB2312" w:cs="仿宋_GB2312"/>
          <w:bCs/>
          <w:kern w:val="0"/>
          <w:sz w:val="32"/>
          <w:szCs w:val="32"/>
          <w:highlight w:val="none"/>
          <w:lang w:val="en-US" w:eastAsia="zh-CN"/>
        </w:rPr>
        <w:t>九</w:t>
      </w:r>
      <w:r>
        <w:rPr>
          <w:rFonts w:hint="eastAsia" w:ascii="Times New Roman" w:hAnsi="Times New Roman" w:eastAsia="仿宋_GB2312" w:cs="仿宋_GB2312"/>
          <w:bCs/>
          <w:kern w:val="0"/>
          <w:sz w:val="32"/>
          <w:szCs w:val="32"/>
          <w:highlight w:val="none"/>
        </w:rPr>
        <w:t>、《财政拨款“三公”经费支出决算表》</w:t>
      </w:r>
      <w:r>
        <w:rPr>
          <w:rFonts w:hint="eastAsia" w:ascii="Times New Roman" w:hAnsi="Times New Roman" w:eastAsia="仿宋_GB2312" w:cs="仿宋_GB2312"/>
          <w:sz w:val="32"/>
          <w:szCs w:val="32"/>
          <w:highlight w:val="none"/>
        </w:rPr>
        <w:fldChar w:fldCharType="end"/>
      </w:r>
    </w:p>
    <w:p w14:paraId="24A86F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Times New Roman" w:hAnsi="Times New Roman" w:eastAsia="黑体"/>
          <w:sz w:val="32"/>
          <w:szCs w:val="32"/>
          <w:highlight w:val="none"/>
        </w:rPr>
      </w:pPr>
      <w:r>
        <w:rPr>
          <w:rFonts w:hint="eastAsia" w:ascii="Times New Roman" w:hAnsi="Times New Roman" w:eastAsia="仿宋_GB2312" w:cs="仿宋_GB2312"/>
          <w:sz w:val="32"/>
          <w:szCs w:val="32"/>
          <w:highlight w:val="none"/>
        </w:rPr>
        <w:fldChar w:fldCharType="end"/>
      </w:r>
      <w:r>
        <w:rPr>
          <w:rFonts w:hint="eastAsia" w:ascii="Times New Roman" w:hAnsi="Times New Roman" w:eastAsia="仿宋_GB2312"/>
          <w:sz w:val="32"/>
          <w:szCs w:val="32"/>
          <w:highlight w:val="none"/>
        </w:rPr>
        <w:br w:type="page"/>
      </w:r>
      <w:bookmarkStart w:id="0" w:name="_Toc31918"/>
      <w:bookmarkStart w:id="1" w:name="_Toc24028"/>
      <w:r>
        <w:rPr>
          <w:rFonts w:hint="eastAsia" w:ascii="Times New Roman" w:hAnsi="Times New Roman" w:eastAsia="黑体"/>
          <w:sz w:val="32"/>
          <w:szCs w:val="32"/>
          <w:highlight w:val="none"/>
        </w:rPr>
        <w:t>第一部分 单位概况</w:t>
      </w:r>
      <w:bookmarkEnd w:id="0"/>
      <w:bookmarkEnd w:id="1"/>
    </w:p>
    <w:p w14:paraId="6AA13C8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Times New Roman" w:hAnsi="Times New Roman" w:eastAsia="黑体" w:cs="宋体"/>
          <w:bCs/>
          <w:kern w:val="0"/>
          <w:sz w:val="32"/>
          <w:szCs w:val="32"/>
          <w:highlight w:val="none"/>
        </w:rPr>
      </w:pPr>
      <w:bookmarkStart w:id="2" w:name="_Toc2898"/>
      <w:bookmarkStart w:id="3" w:name="_Toc30738"/>
      <w:r>
        <w:rPr>
          <w:rFonts w:hint="eastAsia" w:ascii="Times New Roman" w:hAnsi="Times New Roman" w:eastAsia="黑体" w:cs="宋体"/>
          <w:bCs/>
          <w:kern w:val="0"/>
          <w:sz w:val="32"/>
          <w:szCs w:val="32"/>
          <w:highlight w:val="none"/>
        </w:rPr>
        <w:t>一、主要职能</w:t>
      </w:r>
      <w:bookmarkEnd w:id="2"/>
      <w:bookmarkEnd w:id="3"/>
    </w:p>
    <w:p w14:paraId="591368CF">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新疆维吾尔自治区区外投资企业服务中心主要负责为区外投资企业提供投资服务，办理区外投资企业招商引资事宜，受理相关投诉、市场调查、政策咨询，相关社会服务。</w:t>
      </w:r>
    </w:p>
    <w:p w14:paraId="5945335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kern w:val="0"/>
          <w:sz w:val="32"/>
          <w:szCs w:val="32"/>
          <w:highlight w:val="none"/>
        </w:rPr>
      </w:pPr>
      <w:bookmarkStart w:id="4" w:name="_Toc31238"/>
      <w:bookmarkStart w:id="5" w:name="_Toc1387"/>
      <w:r>
        <w:rPr>
          <w:rFonts w:hint="eastAsia" w:ascii="Times New Roman" w:hAnsi="Times New Roman" w:eastAsia="黑体" w:cs="宋体"/>
          <w:bCs/>
          <w:kern w:val="0"/>
          <w:sz w:val="32"/>
          <w:szCs w:val="32"/>
          <w:highlight w:val="none"/>
        </w:rPr>
        <w:t>二、机构设置</w:t>
      </w:r>
      <w:r>
        <w:rPr>
          <w:rFonts w:hint="eastAsia" w:ascii="Times New Roman" w:hAnsi="Times New Roman" w:eastAsia="黑体" w:cs="宋体"/>
          <w:bCs/>
          <w:kern w:val="0"/>
          <w:sz w:val="32"/>
          <w:szCs w:val="32"/>
          <w:highlight w:val="none"/>
          <w:lang w:eastAsia="zh-CN"/>
        </w:rPr>
        <w:t>及</w:t>
      </w:r>
      <w:bookmarkEnd w:id="4"/>
      <w:r>
        <w:rPr>
          <w:rFonts w:hint="eastAsia" w:ascii="Times New Roman" w:hAnsi="Times New Roman" w:eastAsia="黑体" w:cs="宋体"/>
          <w:bCs/>
          <w:kern w:val="0"/>
          <w:sz w:val="32"/>
          <w:szCs w:val="32"/>
          <w:highlight w:val="none"/>
          <w:lang w:eastAsia="zh-CN"/>
        </w:rPr>
        <w:t>人员</w:t>
      </w:r>
      <w:r>
        <w:rPr>
          <w:rFonts w:hint="eastAsia" w:ascii="Times New Roman" w:hAnsi="Times New Roman" w:eastAsia="黑体" w:cs="宋体"/>
          <w:bCs/>
          <w:kern w:val="0"/>
          <w:sz w:val="32"/>
          <w:szCs w:val="32"/>
          <w:highlight w:val="none"/>
        </w:rPr>
        <w:t>情况</w:t>
      </w:r>
      <w:bookmarkEnd w:id="5"/>
    </w:p>
    <w:p w14:paraId="4415974E">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新疆维吾尔自治区区外投资企业服务中心2024年度，实有人数5人，其中：在职人员5人，较上年无变化；离休人员0人，较上年无变化；退休人员0人，较上年无变化</w:t>
      </w:r>
      <w:r>
        <w:rPr>
          <w:rFonts w:hint="eastAsia" w:ascii="Times New Roman" w:hAnsi="Times New Roman" w:eastAsia="仿宋_GB2312"/>
          <w:sz w:val="32"/>
          <w:szCs w:val="32"/>
          <w:highlight w:val="none"/>
          <w:lang w:eastAsia="zh-CN"/>
        </w:rPr>
        <w:t>。</w:t>
      </w:r>
    </w:p>
    <w:p w14:paraId="77D1D724">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新疆维吾尔自治区区外投资企业服务中心无下属预算单位，</w:t>
      </w:r>
      <w:r>
        <w:rPr>
          <w:rFonts w:hint="eastAsia" w:ascii="Times New Roman" w:hAnsi="Times New Roman" w:eastAsia="仿宋_GB2312"/>
          <w:sz w:val="32"/>
          <w:szCs w:val="32"/>
          <w:highlight w:val="none"/>
          <w:lang w:eastAsia="zh-CN"/>
        </w:rPr>
        <w:t>无</w:t>
      </w:r>
      <w:r>
        <w:rPr>
          <w:rFonts w:hint="eastAsia" w:ascii="Times New Roman" w:hAnsi="Times New Roman" w:eastAsia="仿宋_GB2312"/>
          <w:sz w:val="32"/>
          <w:szCs w:val="32"/>
          <w:highlight w:val="none"/>
        </w:rPr>
        <w:t>下设处室。</w:t>
      </w:r>
    </w:p>
    <w:p w14:paraId="23A669DB">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Times New Roman" w:hAnsi="Times New Roman" w:eastAsia="仿宋_GB2312" w:cs="宋体"/>
          <w:kern w:val="0"/>
          <w:sz w:val="32"/>
          <w:szCs w:val="32"/>
          <w:highlight w:val="none"/>
        </w:rPr>
        <w:sectPr>
          <w:footerReference r:id="rId3" w:type="default"/>
          <w:pgSz w:w="11906" w:h="16838"/>
          <w:pgMar w:top="1440" w:right="1800" w:bottom="1440" w:left="1800" w:header="851" w:footer="992" w:gutter="0"/>
          <w:cols w:space="720" w:num="1"/>
          <w:docGrid w:type="lines" w:linePitch="312" w:charSpace="0"/>
        </w:sectPr>
      </w:pPr>
    </w:p>
    <w:p w14:paraId="7EADCB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Times New Roman" w:hAnsi="Times New Roman" w:eastAsia="黑体"/>
          <w:sz w:val="32"/>
          <w:szCs w:val="32"/>
          <w:highlight w:val="none"/>
        </w:rPr>
      </w:pPr>
      <w:bookmarkStart w:id="6" w:name="_Toc3092"/>
      <w:bookmarkStart w:id="7" w:name="_Toc7559"/>
      <w:r>
        <w:rPr>
          <w:rFonts w:hint="eastAsia" w:ascii="Times New Roman" w:hAnsi="Times New Roman" w:eastAsia="黑体"/>
          <w:sz w:val="32"/>
          <w:szCs w:val="32"/>
          <w:highlight w:val="none"/>
        </w:rPr>
        <w:t>第</w:t>
      </w:r>
      <w:r>
        <w:rPr>
          <w:rFonts w:hint="eastAsia" w:ascii="Times New Roman" w:hAnsi="Times New Roman" w:eastAsia="黑体"/>
          <w:sz w:val="32"/>
          <w:szCs w:val="32"/>
          <w:highlight w:val="none"/>
          <w:lang w:val="en-US" w:eastAsia="zh-CN"/>
        </w:rPr>
        <w:t>二</w:t>
      </w:r>
      <w:r>
        <w:rPr>
          <w:rFonts w:hint="eastAsia" w:ascii="Times New Roman" w:hAnsi="Times New Roman" w:eastAsia="黑体"/>
          <w:sz w:val="32"/>
          <w:szCs w:val="32"/>
          <w:highlight w:val="none"/>
        </w:rPr>
        <w:t>部分 部门决算情况说明</w:t>
      </w:r>
      <w:bookmarkEnd w:id="6"/>
      <w:bookmarkEnd w:id="7"/>
    </w:p>
    <w:p w14:paraId="7830DB4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kern w:val="0"/>
          <w:sz w:val="32"/>
          <w:szCs w:val="32"/>
          <w:highlight w:val="none"/>
        </w:rPr>
      </w:pPr>
      <w:bookmarkStart w:id="8" w:name="_Toc6321"/>
      <w:bookmarkStart w:id="9" w:name="_Toc12566"/>
      <w:r>
        <w:rPr>
          <w:rFonts w:hint="eastAsia" w:ascii="Times New Roman" w:hAnsi="Times New Roman" w:eastAsia="黑体" w:cs="宋体"/>
          <w:bCs/>
          <w:kern w:val="0"/>
          <w:sz w:val="32"/>
          <w:szCs w:val="32"/>
          <w:highlight w:val="none"/>
        </w:rPr>
        <w:t>一、收入支出决算总体情况说明</w:t>
      </w:r>
      <w:bookmarkEnd w:id="8"/>
      <w:bookmarkEnd w:id="9"/>
    </w:p>
    <w:p w14:paraId="50AFFD9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b w:val="0"/>
          <w:bCs w:val="0"/>
          <w:spacing w:val="0"/>
          <w:sz w:val="32"/>
          <w:szCs w:val="32"/>
          <w:highlight w:val="none"/>
          <w:lang w:eastAsia="zh-CN"/>
        </w:rPr>
      </w:pPr>
      <w:r>
        <w:rPr>
          <w:rFonts w:hint="eastAsia" w:ascii="Times New Roman" w:hAnsi="Times New Roman" w:eastAsia="仿宋_GB2312"/>
          <w:b w:val="0"/>
          <w:bCs w:val="0"/>
          <w:spacing w:val="0"/>
          <w:sz w:val="32"/>
          <w:szCs w:val="32"/>
          <w:highlight w:val="none"/>
          <w:lang w:eastAsia="zh-CN"/>
        </w:rPr>
        <w:t>2024年度收入总计111.74万元，其中：本年收入合计111.51万元，使用非财政拨款结余（含专用结余）0.00万元，年初结转和结余0.23万元。</w:t>
      </w:r>
    </w:p>
    <w:p w14:paraId="59A1166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b w:val="0"/>
          <w:bCs w:val="0"/>
          <w:spacing w:val="0"/>
          <w:sz w:val="32"/>
          <w:szCs w:val="32"/>
          <w:highlight w:val="none"/>
          <w:lang w:eastAsia="zh-CN"/>
        </w:rPr>
      </w:pPr>
      <w:r>
        <w:rPr>
          <w:rFonts w:hint="eastAsia" w:ascii="Times New Roman" w:hAnsi="Times New Roman" w:eastAsia="仿宋_GB2312"/>
          <w:b w:val="0"/>
          <w:bCs w:val="0"/>
          <w:spacing w:val="0"/>
          <w:sz w:val="32"/>
          <w:szCs w:val="32"/>
          <w:highlight w:val="none"/>
          <w:lang w:eastAsia="zh-CN"/>
        </w:rPr>
        <w:t>2024年度支出总计111.74万元，其中：本年支出合计107.61万元，结余分配0.00万元，年末结转和结余4.13万元。</w:t>
      </w:r>
    </w:p>
    <w:p w14:paraId="6A2DF58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val="0"/>
          <w:bCs w:val="0"/>
          <w:spacing w:val="0"/>
          <w:sz w:val="32"/>
          <w:szCs w:val="32"/>
          <w:highlight w:val="none"/>
          <w:lang w:eastAsia="zh-CN"/>
        </w:rPr>
        <w:t>收入支出总体与上年相比，增加7.90万元，增长7.61%，主要原因是：一是按要求增资，二是人员社保及公积金等缴费基数调增，人员经费增加</w:t>
      </w:r>
      <w:r>
        <w:rPr>
          <w:rFonts w:hint="eastAsia" w:ascii="Times New Roman" w:hAnsi="Times New Roman" w:eastAsia="仿宋_GB2312"/>
          <w:sz w:val="32"/>
          <w:szCs w:val="32"/>
          <w:highlight w:val="none"/>
          <w:lang w:eastAsia="zh-CN"/>
        </w:rPr>
        <w:t>。</w:t>
      </w:r>
    </w:p>
    <w:p w14:paraId="4B54B43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kern w:val="0"/>
          <w:sz w:val="32"/>
          <w:szCs w:val="32"/>
          <w:highlight w:val="none"/>
        </w:rPr>
      </w:pPr>
      <w:bookmarkStart w:id="10" w:name="_Toc6311"/>
      <w:bookmarkStart w:id="11" w:name="_Toc1979"/>
      <w:r>
        <w:rPr>
          <w:rFonts w:hint="eastAsia" w:ascii="Times New Roman" w:hAnsi="Times New Roman" w:eastAsia="黑体" w:cs="宋体"/>
          <w:bCs/>
          <w:kern w:val="0"/>
          <w:sz w:val="32"/>
          <w:szCs w:val="32"/>
          <w:highlight w:val="none"/>
          <w:lang w:eastAsia="zh-CN"/>
        </w:rPr>
        <w:t>二、</w:t>
      </w:r>
      <w:r>
        <w:rPr>
          <w:rFonts w:hint="eastAsia" w:ascii="Times New Roman" w:hAnsi="Times New Roman" w:eastAsia="黑体" w:cs="宋体"/>
          <w:bCs/>
          <w:kern w:val="0"/>
          <w:sz w:val="32"/>
          <w:szCs w:val="32"/>
          <w:highlight w:val="none"/>
        </w:rPr>
        <w:t>收入</w:t>
      </w:r>
      <w:r>
        <w:rPr>
          <w:rFonts w:hint="eastAsia" w:ascii="Times New Roman" w:hAnsi="Times New Roman" w:eastAsia="黑体" w:cs="宋体"/>
          <w:bCs/>
          <w:kern w:val="0"/>
          <w:sz w:val="32"/>
          <w:szCs w:val="32"/>
          <w:highlight w:val="none"/>
          <w:lang w:eastAsia="zh-CN"/>
        </w:rPr>
        <w:t>决算</w:t>
      </w:r>
      <w:r>
        <w:rPr>
          <w:rFonts w:hint="eastAsia" w:ascii="Times New Roman" w:hAnsi="Times New Roman" w:eastAsia="黑体" w:cs="宋体"/>
          <w:bCs/>
          <w:kern w:val="0"/>
          <w:sz w:val="32"/>
          <w:szCs w:val="32"/>
          <w:highlight w:val="none"/>
        </w:rPr>
        <w:t>情况说明</w:t>
      </w:r>
      <w:bookmarkEnd w:id="10"/>
      <w:bookmarkEnd w:id="11"/>
    </w:p>
    <w:p w14:paraId="1EFD4A3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b w:val="0"/>
          <w:bCs w:val="0"/>
          <w:sz w:val="32"/>
          <w:szCs w:val="32"/>
          <w:highlight w:val="none"/>
        </w:rPr>
      </w:pPr>
      <w:r>
        <w:rPr>
          <w:rFonts w:hint="eastAsia" w:ascii="Times New Roman" w:hAnsi="Times New Roman" w:eastAsia="仿宋_GB2312"/>
          <w:b w:val="0"/>
          <w:bCs w:val="0"/>
          <w:sz w:val="32"/>
          <w:szCs w:val="32"/>
          <w:highlight w:val="none"/>
        </w:rPr>
        <w:t>本年收入111.51万元，其中：财政拨款收入111.50万元,占99.99%；上级补助收入0.00万元,占0.00%；事业收入0.00万元，占0.00%；经营收入0.00万元,占0.00%；附属单位上缴收入0.00万元，占0.00%；其他收入0.01万元，占0.01%。</w:t>
      </w:r>
    </w:p>
    <w:p w14:paraId="6F76709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kern w:val="0"/>
          <w:sz w:val="32"/>
          <w:szCs w:val="32"/>
          <w:highlight w:val="none"/>
          <w:lang w:eastAsia="zh-CN"/>
        </w:rPr>
      </w:pPr>
      <w:bookmarkStart w:id="12" w:name="_Toc20629"/>
      <w:bookmarkStart w:id="13" w:name="_Toc27961"/>
      <w:r>
        <w:rPr>
          <w:rFonts w:hint="eastAsia" w:ascii="Times New Roman" w:hAnsi="Times New Roman" w:eastAsia="黑体" w:cs="宋体"/>
          <w:bCs/>
          <w:kern w:val="0"/>
          <w:sz w:val="32"/>
          <w:szCs w:val="32"/>
          <w:highlight w:val="none"/>
          <w:lang w:eastAsia="zh-CN"/>
        </w:rPr>
        <w:t>三、支出决算情况说明</w:t>
      </w:r>
      <w:bookmarkEnd w:id="12"/>
      <w:bookmarkEnd w:id="13"/>
    </w:p>
    <w:p w14:paraId="68B50BB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b w:val="0"/>
          <w:bCs w:val="0"/>
          <w:sz w:val="32"/>
          <w:szCs w:val="32"/>
          <w:highlight w:val="none"/>
        </w:rPr>
        <w:t>本年支出107.61万元，其中：基本支出107.61万元，占100.00%；项目支出0.00万元，占0.00%；上缴上级支出0.00万元，占0.00%；经营支出0.00万元，占0.00%；对附属单位补助支出0.00万元，占0.00%</w:t>
      </w:r>
      <w:r>
        <w:rPr>
          <w:rFonts w:hint="eastAsia" w:ascii="Times New Roman" w:hAnsi="Times New Roman" w:eastAsia="仿宋_GB2312"/>
          <w:sz w:val="32"/>
          <w:szCs w:val="32"/>
          <w:highlight w:val="none"/>
          <w:lang w:eastAsia="zh-CN"/>
        </w:rPr>
        <w:t>。</w:t>
      </w:r>
    </w:p>
    <w:p w14:paraId="6107172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kern w:val="0"/>
          <w:sz w:val="32"/>
          <w:szCs w:val="32"/>
          <w:highlight w:val="none"/>
          <w:lang w:eastAsia="zh-CN"/>
        </w:rPr>
      </w:pPr>
      <w:bookmarkStart w:id="14" w:name="_Toc4393"/>
      <w:bookmarkStart w:id="15" w:name="_Toc7371"/>
      <w:r>
        <w:rPr>
          <w:rFonts w:hint="eastAsia" w:ascii="Times New Roman" w:hAnsi="Times New Roman" w:eastAsia="黑体" w:cs="宋体"/>
          <w:bCs/>
          <w:kern w:val="0"/>
          <w:sz w:val="32"/>
          <w:szCs w:val="32"/>
          <w:highlight w:val="none"/>
          <w:lang w:eastAsia="zh-CN"/>
        </w:rPr>
        <w:t>四、财政拨款收入支出决算总体情况说明</w:t>
      </w:r>
      <w:bookmarkEnd w:id="14"/>
      <w:bookmarkEnd w:id="15"/>
    </w:p>
    <w:p w14:paraId="5829FFE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b w:val="0"/>
          <w:bCs w:val="0"/>
          <w:spacing w:val="0"/>
          <w:sz w:val="32"/>
          <w:szCs w:val="32"/>
          <w:highlight w:val="none"/>
          <w:lang w:eastAsia="zh-CN"/>
        </w:rPr>
      </w:pPr>
      <w:r>
        <w:rPr>
          <w:rFonts w:hint="eastAsia" w:ascii="Times New Roman" w:hAnsi="Times New Roman" w:eastAsia="仿宋_GB2312"/>
          <w:b w:val="0"/>
          <w:bCs w:val="0"/>
          <w:spacing w:val="0"/>
          <w:sz w:val="32"/>
          <w:szCs w:val="32"/>
          <w:highlight w:val="none"/>
          <w:lang w:eastAsia="zh-CN"/>
        </w:rPr>
        <w:t>2024年度财政拨款收入总计111.72万元，其中：年初财政拨款结转和结余0.22万元，本年财政拨款收入111.50万元。财政拨款支出总计111.72万元，其中：年末财政拨款结转和结余4.11万元，本年财政拨款支出107.61万元。</w:t>
      </w:r>
    </w:p>
    <w:p w14:paraId="058CEE6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val="0"/>
          <w:bCs w:val="0"/>
          <w:spacing w:val="0"/>
          <w:sz w:val="32"/>
          <w:szCs w:val="32"/>
          <w:highlight w:val="none"/>
          <w:lang w:eastAsia="zh-CN"/>
        </w:rPr>
        <w:t>财政拨款收入支出总体与上年相比，增加7.93万元，增长7.64%，主要原因是：一是按要求增资，二是人员社保及公积金等缴费基数调增，人员经费增加。与年初预算相比，年初预算数104.71万元，决算数111.72万元，预决算差异率6.69%，主要原因是：按要求增资</w:t>
      </w:r>
      <w:r>
        <w:rPr>
          <w:rFonts w:hint="eastAsia" w:eastAsia="仿宋_GB2312"/>
          <w:b w:val="0"/>
          <w:bCs w:val="0"/>
          <w:spacing w:val="0"/>
          <w:sz w:val="32"/>
          <w:szCs w:val="32"/>
          <w:highlight w:val="none"/>
          <w:lang w:eastAsia="zh-CN"/>
        </w:rPr>
        <w:t>及调增</w:t>
      </w:r>
      <w:r>
        <w:rPr>
          <w:rFonts w:hint="eastAsia" w:ascii="Times New Roman" w:hAnsi="Times New Roman" w:eastAsia="仿宋_GB2312"/>
          <w:b w:val="0"/>
          <w:bCs w:val="0"/>
          <w:spacing w:val="0"/>
          <w:sz w:val="32"/>
          <w:szCs w:val="32"/>
          <w:highlight w:val="none"/>
          <w:lang w:eastAsia="zh-CN"/>
        </w:rPr>
        <w:t>年终绩效考核奖</w:t>
      </w:r>
      <w:r>
        <w:rPr>
          <w:rFonts w:hint="eastAsia" w:ascii="Times New Roman" w:hAnsi="Times New Roman" w:eastAsia="仿宋_GB2312"/>
          <w:sz w:val="32"/>
          <w:szCs w:val="32"/>
          <w:highlight w:val="none"/>
        </w:rPr>
        <w:t>。</w:t>
      </w:r>
    </w:p>
    <w:p w14:paraId="66B0F5E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kern w:val="0"/>
          <w:sz w:val="32"/>
          <w:szCs w:val="32"/>
          <w:highlight w:val="none"/>
          <w:lang w:eastAsia="zh-CN"/>
        </w:rPr>
      </w:pPr>
      <w:bookmarkStart w:id="16" w:name="_Toc18905"/>
      <w:bookmarkStart w:id="17" w:name="_Toc13833"/>
      <w:r>
        <w:rPr>
          <w:rFonts w:hint="eastAsia" w:ascii="Times New Roman" w:hAnsi="Times New Roman" w:eastAsia="黑体" w:cs="宋体"/>
          <w:bCs/>
          <w:kern w:val="0"/>
          <w:sz w:val="32"/>
          <w:szCs w:val="32"/>
          <w:highlight w:val="none"/>
          <w:lang w:eastAsia="zh-CN"/>
        </w:rPr>
        <w:t>五、一般公共预算财政拨款支出决算情况说明</w:t>
      </w:r>
      <w:bookmarkEnd w:id="16"/>
      <w:bookmarkEnd w:id="17"/>
    </w:p>
    <w:p w14:paraId="491196E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Times New Roman" w:hAnsi="Times New Roman" w:eastAsia="黑体"/>
          <w:sz w:val="32"/>
          <w:szCs w:val="32"/>
          <w:highlight w:val="none"/>
          <w:lang w:eastAsia="zh-CN"/>
        </w:rPr>
      </w:pPr>
      <w:bookmarkStart w:id="18" w:name="_Toc1165"/>
      <w:r>
        <w:rPr>
          <w:rFonts w:hint="eastAsia" w:ascii="Times New Roman" w:hAnsi="Times New Roman" w:eastAsia="黑体"/>
          <w:sz w:val="32"/>
          <w:szCs w:val="32"/>
          <w:highlight w:val="none"/>
          <w:lang w:eastAsia="zh-CN"/>
        </w:rPr>
        <w:t>（一）一般公共预算财政拨款支出决算总体情况</w:t>
      </w:r>
      <w:bookmarkEnd w:id="18"/>
    </w:p>
    <w:p w14:paraId="42F0DF6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spacing w:val="0"/>
          <w:sz w:val="32"/>
          <w:szCs w:val="32"/>
          <w:highlight w:val="none"/>
        </w:rPr>
      </w:pPr>
      <w:r>
        <w:rPr>
          <w:rFonts w:hint="eastAsia" w:ascii="Times New Roman" w:hAnsi="Times New Roman" w:eastAsia="仿宋_GB2312"/>
          <w:b w:val="0"/>
          <w:bCs w:val="0"/>
          <w:spacing w:val="0"/>
          <w:sz w:val="32"/>
          <w:szCs w:val="32"/>
          <w:highlight w:val="none"/>
          <w:lang w:eastAsia="zh-CN"/>
        </w:rPr>
        <w:t>2024年度一般公共预算财政拨款支出107.61万元，占本年支出合计的100.00%。与上年相比，增加4.04万元，增长3.90%，主要原因是：一是按要求增资</w:t>
      </w:r>
      <w:r>
        <w:rPr>
          <w:rFonts w:hint="eastAsia" w:eastAsia="仿宋_GB2312"/>
          <w:b w:val="0"/>
          <w:bCs w:val="0"/>
          <w:spacing w:val="0"/>
          <w:sz w:val="32"/>
          <w:szCs w:val="32"/>
          <w:highlight w:val="none"/>
          <w:lang w:eastAsia="zh-CN"/>
        </w:rPr>
        <w:t>及调增</w:t>
      </w:r>
      <w:r>
        <w:rPr>
          <w:rFonts w:hint="eastAsia" w:ascii="Times New Roman" w:hAnsi="Times New Roman" w:eastAsia="仿宋_GB2312"/>
          <w:b w:val="0"/>
          <w:bCs w:val="0"/>
          <w:spacing w:val="0"/>
          <w:sz w:val="32"/>
          <w:szCs w:val="32"/>
          <w:highlight w:val="none"/>
          <w:lang w:eastAsia="zh-CN"/>
        </w:rPr>
        <w:t>年终绩效考核奖，二是人员社保及公积金等缴费基数增加，人员经费增加，收入支出整体增加。与年初预算相比，年初预算数104.71万元，决算数107.61万元，预决算差异率2.77%，主要原因是：按要求增资</w:t>
      </w:r>
      <w:r>
        <w:rPr>
          <w:rFonts w:hint="eastAsia" w:eastAsia="仿宋_GB2312"/>
          <w:b w:val="0"/>
          <w:bCs w:val="0"/>
          <w:spacing w:val="0"/>
          <w:sz w:val="32"/>
          <w:szCs w:val="32"/>
          <w:highlight w:val="none"/>
          <w:lang w:eastAsia="zh-CN"/>
        </w:rPr>
        <w:t>及调增</w:t>
      </w:r>
      <w:r>
        <w:rPr>
          <w:rFonts w:hint="eastAsia" w:ascii="Times New Roman" w:hAnsi="Times New Roman" w:eastAsia="仿宋_GB2312"/>
          <w:b w:val="0"/>
          <w:bCs w:val="0"/>
          <w:spacing w:val="0"/>
          <w:sz w:val="32"/>
          <w:szCs w:val="32"/>
          <w:highlight w:val="none"/>
          <w:lang w:eastAsia="zh-CN"/>
        </w:rPr>
        <w:t>年终绩效考核奖</w:t>
      </w:r>
      <w:r>
        <w:rPr>
          <w:rFonts w:hint="eastAsia" w:ascii="Times New Roman" w:hAnsi="Times New Roman" w:eastAsia="仿宋_GB2312"/>
          <w:sz w:val="32"/>
          <w:szCs w:val="32"/>
          <w:highlight w:val="none"/>
        </w:rPr>
        <w:t>。</w:t>
      </w:r>
    </w:p>
    <w:p w14:paraId="4F8B4E5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Times New Roman" w:hAnsi="Times New Roman" w:eastAsia="黑体"/>
          <w:sz w:val="32"/>
          <w:szCs w:val="32"/>
          <w:highlight w:val="none"/>
          <w:lang w:eastAsia="zh-CN"/>
        </w:rPr>
      </w:pPr>
      <w:bookmarkStart w:id="19" w:name="_Toc27147"/>
      <w:r>
        <w:rPr>
          <w:rFonts w:hint="eastAsia" w:ascii="Times New Roman" w:hAnsi="Times New Roman" w:eastAsia="黑体"/>
          <w:sz w:val="32"/>
          <w:szCs w:val="32"/>
          <w:highlight w:val="none"/>
          <w:lang w:eastAsia="zh-CN"/>
        </w:rPr>
        <w:t>（二）一般公共预算</w:t>
      </w:r>
      <w:r>
        <w:rPr>
          <w:rFonts w:hint="eastAsia" w:ascii="Times New Roman" w:hAnsi="Times New Roman" w:eastAsia="黑体"/>
          <w:sz w:val="32"/>
          <w:szCs w:val="32"/>
          <w:highlight w:val="none"/>
          <w:lang w:val="en-US" w:eastAsia="zh-CN"/>
        </w:rPr>
        <w:t>财政拨款支出决算</w:t>
      </w:r>
      <w:r>
        <w:rPr>
          <w:rFonts w:hint="eastAsia" w:ascii="Times New Roman" w:hAnsi="Times New Roman" w:eastAsia="黑体"/>
          <w:sz w:val="32"/>
          <w:szCs w:val="32"/>
          <w:highlight w:val="none"/>
          <w:lang w:eastAsia="zh-CN"/>
        </w:rPr>
        <w:t>结构情况</w:t>
      </w:r>
      <w:bookmarkEnd w:id="19"/>
    </w:p>
    <w:p w14:paraId="67EBB219">
      <w:pPr>
        <w:widowControl/>
        <w:spacing w:before="0" w:beforeLines="0" w:beforeAutospacing="0" w:after="0" w:afterLines="0" w:afterAutospacing="0" w:line="240" w:lineRule="auto"/>
        <w:ind w:firstLine="640" w:firstLineChars="200"/>
        <w:jc w:val="both"/>
        <w:rPr>
          <w:rFonts w:ascii="Times New Roman" w:hAnsi="Times New Roman" w:eastAsia="仿宋_GB2312"/>
          <w:sz w:val="32"/>
          <w:szCs w:val="32"/>
        </w:rPr>
      </w:pPr>
      <w:r>
        <w:rPr>
          <w:rFonts w:hint="eastAsia" w:ascii="Times New Roman" w:hAnsi="Times New Roman" w:eastAsia="仿宋_GB2312" w:cs="仿宋_GB2312"/>
          <w:sz w:val="32"/>
          <w:szCs w:val="32"/>
          <w:highlight w:val="none"/>
        </w:rPr>
        <w:t>1.</w:t>
      </w:r>
      <w:r>
        <w:rPr>
          <w:rFonts w:ascii="Times New Roman" w:hAnsi="Times New Roman" w:eastAsia="仿宋_GB2312"/>
          <w:b w:val="0"/>
          <w:sz w:val="32"/>
          <w:szCs w:val="32"/>
        </w:rPr>
        <w:t>一般公共服务支出（类）79.40万元，占73.78%。</w:t>
      </w:r>
    </w:p>
    <w:p w14:paraId="59626957">
      <w:pPr>
        <w:widowControl/>
        <w:spacing w:before="0" w:beforeLines="0" w:beforeAutospacing="0" w:after="0" w:afterLines="0" w:afterAutospacing="0" w:line="240" w:lineRule="auto"/>
        <w:ind w:firstLine="640" w:firstLineChars="200"/>
        <w:jc w:val="both"/>
        <w:rPr>
          <w:rFonts w:ascii="Times New Roman" w:hAnsi="Times New Roman" w:eastAsia="仿宋_GB2312"/>
          <w:sz w:val="32"/>
          <w:szCs w:val="32"/>
        </w:rPr>
      </w:pPr>
      <w:r>
        <w:rPr>
          <w:rFonts w:hint="eastAsia" w:ascii="Times New Roman" w:hAnsi="Times New Roman" w:eastAsia="仿宋_GB2312"/>
          <w:b w:val="0"/>
          <w:sz w:val="32"/>
          <w:szCs w:val="32"/>
          <w:lang w:val="en-US" w:eastAsia="zh-CN"/>
        </w:rPr>
        <w:t>2.</w:t>
      </w:r>
      <w:r>
        <w:rPr>
          <w:rFonts w:ascii="Times New Roman" w:hAnsi="Times New Roman" w:eastAsia="仿宋_GB2312"/>
          <w:b w:val="0"/>
          <w:sz w:val="32"/>
          <w:szCs w:val="32"/>
        </w:rPr>
        <w:t>社会保障和就业支出（类）10.62万元，占9.87%。</w:t>
      </w:r>
    </w:p>
    <w:p w14:paraId="11838E37">
      <w:pPr>
        <w:widowControl/>
        <w:spacing w:before="0" w:beforeLines="0" w:beforeAutospacing="0" w:after="0" w:afterLines="0" w:afterAutospacing="0" w:line="240" w:lineRule="auto"/>
        <w:ind w:firstLine="640" w:firstLineChars="200"/>
        <w:jc w:val="both"/>
        <w:rPr>
          <w:rFonts w:ascii="Times New Roman" w:hAnsi="Times New Roman" w:eastAsia="仿宋_GB2312"/>
          <w:sz w:val="32"/>
          <w:szCs w:val="32"/>
        </w:rPr>
      </w:pPr>
      <w:r>
        <w:rPr>
          <w:rFonts w:hint="eastAsia" w:ascii="Times New Roman" w:hAnsi="Times New Roman" w:eastAsia="仿宋_GB2312"/>
          <w:b w:val="0"/>
          <w:sz w:val="32"/>
          <w:szCs w:val="32"/>
          <w:lang w:val="en-US" w:eastAsia="zh-CN"/>
        </w:rPr>
        <w:t>3.</w:t>
      </w:r>
      <w:r>
        <w:rPr>
          <w:rFonts w:ascii="Times New Roman" w:hAnsi="Times New Roman" w:eastAsia="仿宋_GB2312"/>
          <w:b w:val="0"/>
          <w:sz w:val="32"/>
          <w:szCs w:val="32"/>
        </w:rPr>
        <w:t>卫生健康支出（类）9.63万元，占8.95%。</w:t>
      </w:r>
    </w:p>
    <w:p w14:paraId="040C715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b w:val="0"/>
          <w:sz w:val="32"/>
          <w:szCs w:val="32"/>
          <w:lang w:val="en-US" w:eastAsia="zh-CN"/>
        </w:rPr>
        <w:t>4.</w:t>
      </w:r>
      <w:r>
        <w:rPr>
          <w:rFonts w:ascii="Times New Roman" w:hAnsi="Times New Roman" w:eastAsia="仿宋_GB2312"/>
          <w:b w:val="0"/>
          <w:sz w:val="32"/>
          <w:szCs w:val="32"/>
        </w:rPr>
        <w:t>住房保障支出（类）7.97万元，占7.41%</w:t>
      </w:r>
      <w:r>
        <w:rPr>
          <w:rFonts w:hint="eastAsia" w:ascii="Times New Roman" w:hAnsi="Times New Roman" w:eastAsia="仿宋_GB2312" w:cs="仿宋_GB2312"/>
          <w:kern w:val="0"/>
          <w:sz w:val="32"/>
          <w:szCs w:val="32"/>
          <w:highlight w:val="none"/>
        </w:rPr>
        <w:t>。</w:t>
      </w:r>
    </w:p>
    <w:p w14:paraId="26254C5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Times New Roman" w:hAnsi="Times New Roman" w:eastAsia="黑体"/>
          <w:sz w:val="32"/>
          <w:szCs w:val="32"/>
          <w:highlight w:val="none"/>
          <w:lang w:eastAsia="zh-CN"/>
        </w:rPr>
      </w:pPr>
      <w:bookmarkStart w:id="20" w:name="_Toc10037"/>
      <w:r>
        <w:rPr>
          <w:rFonts w:hint="eastAsia" w:ascii="Times New Roman" w:hAnsi="Times New Roman" w:eastAsia="黑体"/>
          <w:sz w:val="32"/>
          <w:szCs w:val="32"/>
          <w:highlight w:val="none"/>
          <w:lang w:eastAsia="zh-CN"/>
        </w:rPr>
        <w:t>（三）一般公共预算财政拨款支出决算具体情况</w:t>
      </w:r>
      <w:bookmarkEnd w:id="20"/>
    </w:p>
    <w:p w14:paraId="533A8A3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1.一般公共服务支出（类）商贸事务（款）事业运行（项）：支出决算数为79.40万元，比上年决算减少1.19万元，下降1.48%，主要原因是：</w:t>
      </w:r>
      <w:r>
        <w:rPr>
          <w:rFonts w:hint="eastAsia" w:ascii="Times New Roman" w:hAnsi="Times New Roman" w:eastAsia="仿宋_GB2312" w:cs="仿宋_GB2312"/>
          <w:kern w:val="0"/>
          <w:sz w:val="32"/>
          <w:szCs w:val="32"/>
          <w:highlight w:val="none"/>
          <w:lang w:eastAsia="zh-CN"/>
        </w:rPr>
        <w:t>事业运行经费结转结余资金较上年增加，支出较上年减少</w:t>
      </w:r>
      <w:r>
        <w:rPr>
          <w:rFonts w:hint="eastAsia" w:ascii="Times New Roman" w:hAnsi="Times New Roman" w:eastAsia="仿宋_GB2312" w:cs="仿宋_GB2312"/>
          <w:kern w:val="0"/>
          <w:sz w:val="32"/>
          <w:szCs w:val="32"/>
          <w:highlight w:val="none"/>
        </w:rPr>
        <w:t>。</w:t>
      </w:r>
    </w:p>
    <w:p w14:paraId="609BF8A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2</w:t>
      </w:r>
      <w:r>
        <w:rPr>
          <w:rFonts w:hint="eastAsia" w:ascii="Times New Roman" w:hAnsi="Times New Roman"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rPr>
        <w:t>社会保障和就业支出（类）行政事业单位养老支出（款）机关事业单位基本养老保险缴费支出（项）：支出决算数为10.62万元，比上年决算增加1.13万元，增长11.91%，主要原因是：基本养老保险缴费基数调增，支出相应增加。</w:t>
      </w:r>
    </w:p>
    <w:p w14:paraId="71DF1BF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3</w:t>
      </w:r>
      <w:r>
        <w:rPr>
          <w:rFonts w:hint="eastAsia" w:ascii="Times New Roman" w:hAnsi="Times New Roman"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rPr>
        <w:t>卫生健康支出（类）行政事业单位医疗（款）事业单位医疗（项）：支出决算数为4.98万元，比上年决算增加1.16万元，增长30.37%，主要原因是：医疗保险缴费基数调增，支出相应增加。</w:t>
      </w:r>
    </w:p>
    <w:p w14:paraId="31D13C6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4</w:t>
      </w:r>
      <w:r>
        <w:rPr>
          <w:rFonts w:hint="eastAsia" w:ascii="Times New Roman" w:hAnsi="Times New Roman"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rPr>
        <w:t>卫生健康支出（类）行政事业单位医疗（款）公务员医疗补助（项）：支出决算数为4.65万元，比上年决算增加1.09万元，增长30.62%，主要原因是：公务员医疗补助缴费基数调整，支出相应增加。</w:t>
      </w:r>
    </w:p>
    <w:p w14:paraId="2DE9D31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cs="仿宋_GB2312"/>
          <w:kern w:val="0"/>
          <w:sz w:val="32"/>
          <w:szCs w:val="32"/>
          <w:highlight w:val="none"/>
        </w:rPr>
        <w:t>5</w:t>
      </w:r>
      <w:r>
        <w:rPr>
          <w:rFonts w:hint="eastAsia" w:ascii="Times New Roman" w:hAnsi="Times New Roman"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rPr>
        <w:t>住房保障支出（类）住房改革支出（款）住房公积金（项）：支出决算数为7.97万元，比上年决算增加1.86万元，增长30.44%，主要原因是：住房公积金缴费基数调增，支出相应增加。</w:t>
      </w:r>
    </w:p>
    <w:p w14:paraId="1705831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kern w:val="0"/>
          <w:sz w:val="32"/>
          <w:szCs w:val="32"/>
          <w:highlight w:val="none"/>
          <w:lang w:eastAsia="zh-CN"/>
        </w:rPr>
      </w:pPr>
      <w:bookmarkStart w:id="21" w:name="_Toc11146"/>
      <w:bookmarkStart w:id="22" w:name="_Toc23415"/>
      <w:r>
        <w:rPr>
          <w:rFonts w:hint="eastAsia" w:ascii="Times New Roman" w:hAnsi="Times New Roman" w:eastAsia="黑体" w:cs="宋体"/>
          <w:bCs/>
          <w:kern w:val="0"/>
          <w:sz w:val="32"/>
          <w:szCs w:val="32"/>
          <w:highlight w:val="none"/>
          <w:lang w:eastAsia="zh-CN"/>
        </w:rPr>
        <w:t>六、一般公共预算财政拨款基本支出决算情况说明</w:t>
      </w:r>
      <w:bookmarkEnd w:id="21"/>
      <w:bookmarkEnd w:id="22"/>
    </w:p>
    <w:p w14:paraId="05A4BD3F">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b w:val="0"/>
          <w:bCs w:val="0"/>
          <w:spacing w:val="0"/>
          <w:sz w:val="32"/>
          <w:szCs w:val="32"/>
          <w:highlight w:val="none"/>
          <w:lang w:eastAsia="zh-CN"/>
        </w:rPr>
      </w:pPr>
      <w:r>
        <w:rPr>
          <w:rFonts w:hint="eastAsia" w:ascii="Times New Roman" w:hAnsi="Times New Roman" w:eastAsia="仿宋_GB2312"/>
          <w:spacing w:val="0"/>
          <w:sz w:val="32"/>
          <w:szCs w:val="32"/>
          <w:highlight w:val="none"/>
          <w:lang w:eastAsia="zh-CN"/>
        </w:rPr>
        <w:t>2024年度一般公共预算财政拨款基本支出107.61万元，其中：</w:t>
      </w:r>
      <w:r>
        <w:rPr>
          <w:rFonts w:hint="eastAsia" w:ascii="Times New Roman" w:hAnsi="Times New Roman" w:eastAsia="仿宋_GB2312"/>
          <w:b w:val="0"/>
          <w:bCs w:val="0"/>
          <w:spacing w:val="0"/>
          <w:sz w:val="32"/>
          <w:szCs w:val="32"/>
          <w:highlight w:val="none"/>
          <w:lang w:eastAsia="zh-CN"/>
        </w:rPr>
        <w:t>人员经费102.59万元，包括：基本工资、津贴补贴、奖金、绩效工资、机关事业单位基本养老保险缴费、职工基本医疗保险缴费、公务员医疗补助缴费、其他社会保障缴费和住房公积金。</w:t>
      </w:r>
    </w:p>
    <w:p w14:paraId="510BE8C9">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cs="宋体"/>
          <w:kern w:val="0"/>
          <w:sz w:val="32"/>
          <w:szCs w:val="32"/>
          <w:highlight w:val="none"/>
        </w:rPr>
      </w:pPr>
      <w:r>
        <w:rPr>
          <w:rFonts w:hint="eastAsia" w:ascii="Times New Roman" w:hAnsi="Times New Roman" w:eastAsia="仿宋_GB2312"/>
          <w:b w:val="0"/>
          <w:bCs w:val="0"/>
          <w:spacing w:val="0"/>
          <w:sz w:val="32"/>
          <w:szCs w:val="32"/>
          <w:highlight w:val="none"/>
          <w:lang w:eastAsia="zh-CN"/>
        </w:rPr>
        <w:t>公用经费5.01万元，</w:t>
      </w:r>
      <w:r>
        <w:rPr>
          <w:rFonts w:hint="eastAsia" w:ascii="Times New Roman" w:hAnsi="Times New Roman" w:eastAsia="仿宋_GB2312"/>
          <w:spacing w:val="0"/>
          <w:sz w:val="32"/>
          <w:szCs w:val="32"/>
          <w:highlight w:val="none"/>
          <w:lang w:eastAsia="zh-CN"/>
        </w:rPr>
        <w:t>包括：办公费、手续费、差旅费、工会经费和福利费。</w:t>
      </w:r>
    </w:p>
    <w:p w14:paraId="372A845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kern w:val="0"/>
          <w:sz w:val="32"/>
          <w:szCs w:val="32"/>
          <w:highlight w:val="none"/>
          <w:lang w:eastAsia="zh-CN"/>
        </w:rPr>
      </w:pPr>
      <w:bookmarkStart w:id="23" w:name="_Toc7523"/>
      <w:bookmarkStart w:id="24" w:name="_Toc7927"/>
      <w:r>
        <w:rPr>
          <w:rFonts w:hint="eastAsia" w:ascii="Times New Roman" w:hAnsi="Times New Roman" w:eastAsia="黑体" w:cs="宋体"/>
          <w:bCs/>
          <w:kern w:val="0"/>
          <w:sz w:val="32"/>
          <w:szCs w:val="32"/>
          <w:highlight w:val="none"/>
          <w:lang w:val="en-US" w:eastAsia="zh-CN"/>
        </w:rPr>
        <w:t>七、</w:t>
      </w:r>
      <w:r>
        <w:rPr>
          <w:rFonts w:hint="eastAsia" w:ascii="Times New Roman" w:hAnsi="Times New Roman" w:eastAsia="黑体" w:cs="宋体"/>
          <w:bCs/>
          <w:kern w:val="0"/>
          <w:sz w:val="32"/>
          <w:szCs w:val="32"/>
          <w:highlight w:val="none"/>
          <w:lang w:eastAsia="zh-CN"/>
        </w:rPr>
        <w:t>政府性基金预算财政拨款收入支出决算情况说明</w:t>
      </w:r>
      <w:bookmarkEnd w:id="23"/>
      <w:bookmarkEnd w:id="24"/>
    </w:p>
    <w:p w14:paraId="2A80A3C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本单位本年度无政府性基金预算财政拨款收入、支出</w:t>
      </w:r>
      <w:r>
        <w:rPr>
          <w:rFonts w:hint="eastAsia" w:ascii="Times New Roman" w:hAnsi="Times New Roman" w:eastAsia="仿宋_GB2312"/>
          <w:sz w:val="32"/>
          <w:szCs w:val="32"/>
          <w:highlight w:val="none"/>
          <w:lang w:val="en-US" w:eastAsia="zh-CN"/>
        </w:rPr>
        <w:t>及结转和结余</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政府性基金预算财政拨款收入支出决算表为空表。</w:t>
      </w:r>
    </w:p>
    <w:p w14:paraId="6C44A58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b w:val="0"/>
          <w:bCs w:val="0"/>
          <w:sz w:val="32"/>
          <w:szCs w:val="32"/>
          <w:highlight w:val="none"/>
          <w:lang w:eastAsia="zh-CN"/>
        </w:rPr>
      </w:pPr>
      <w:bookmarkStart w:id="25" w:name="_Toc5563"/>
      <w:r>
        <w:rPr>
          <w:rFonts w:hint="eastAsia" w:ascii="Times New Roman" w:hAnsi="Times New Roman" w:eastAsia="黑体" w:cs="宋体"/>
          <w:bCs/>
          <w:kern w:val="0"/>
          <w:sz w:val="32"/>
          <w:szCs w:val="32"/>
          <w:highlight w:val="none"/>
          <w:lang w:val="en-US" w:eastAsia="zh-CN"/>
        </w:rPr>
        <w:t>八</w:t>
      </w:r>
      <w:r>
        <w:rPr>
          <w:rFonts w:hint="eastAsia" w:ascii="Times New Roman" w:hAnsi="Times New Roman" w:eastAsia="黑体" w:cs="宋体"/>
          <w:bCs/>
          <w:kern w:val="0"/>
          <w:sz w:val="32"/>
          <w:szCs w:val="32"/>
          <w:highlight w:val="none"/>
          <w:lang w:eastAsia="zh-CN"/>
        </w:rPr>
        <w:t>、国有资本经营预算财政拨款收入支出决算情况说明</w:t>
      </w:r>
      <w:bookmarkEnd w:id="25"/>
    </w:p>
    <w:p w14:paraId="6581A8F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sz w:val="32"/>
          <w:szCs w:val="32"/>
          <w:highlight w:val="none"/>
          <w:lang w:eastAsia="zh-CN"/>
        </w:rPr>
        <w:t>本单位本年度无国有资本经营预算财政拨款收入、支出</w:t>
      </w:r>
      <w:r>
        <w:rPr>
          <w:rFonts w:hint="eastAsia" w:ascii="Times New Roman" w:hAnsi="Times New Roman" w:eastAsia="仿宋_GB2312"/>
          <w:sz w:val="32"/>
          <w:szCs w:val="32"/>
          <w:highlight w:val="none"/>
          <w:lang w:val="en-US" w:eastAsia="zh-CN"/>
        </w:rPr>
        <w:t>及结转和结余</w:t>
      </w:r>
      <w:r>
        <w:rPr>
          <w:rFonts w:hint="eastAsia" w:ascii="Times New Roman" w:hAnsi="Times New Roman" w:eastAsia="仿宋_GB2312"/>
          <w:sz w:val="32"/>
          <w:szCs w:val="32"/>
          <w:highlight w:val="none"/>
          <w:lang w:eastAsia="zh-CN"/>
        </w:rPr>
        <w:t>，国有资本经营</w:t>
      </w:r>
      <w:r>
        <w:rPr>
          <w:rFonts w:hint="eastAsia" w:ascii="Times New Roman" w:hAnsi="Times New Roman" w:eastAsia="仿宋_GB2312"/>
          <w:sz w:val="32"/>
          <w:szCs w:val="32"/>
          <w:highlight w:val="none"/>
        </w:rPr>
        <w:t>预算财政拨款收入支出决算表为空表。</w:t>
      </w:r>
      <w:bookmarkStart w:id="26" w:name="_Toc7190"/>
    </w:p>
    <w:p w14:paraId="7C2B24B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kern w:val="0"/>
          <w:sz w:val="32"/>
          <w:szCs w:val="32"/>
          <w:highlight w:val="none"/>
          <w:lang w:eastAsia="zh-CN"/>
        </w:rPr>
      </w:pPr>
      <w:bookmarkStart w:id="27" w:name="_Toc9161"/>
      <w:r>
        <w:rPr>
          <w:rFonts w:hint="eastAsia" w:ascii="Times New Roman" w:hAnsi="Times New Roman" w:eastAsia="黑体" w:cs="宋体"/>
          <w:bCs/>
          <w:kern w:val="0"/>
          <w:sz w:val="32"/>
          <w:szCs w:val="32"/>
          <w:highlight w:val="none"/>
          <w:lang w:val="en-US" w:eastAsia="zh-CN"/>
        </w:rPr>
        <w:t>九</w:t>
      </w:r>
      <w:r>
        <w:rPr>
          <w:rFonts w:hint="eastAsia" w:ascii="Times New Roman" w:hAnsi="Times New Roman" w:eastAsia="黑体" w:cs="宋体"/>
          <w:bCs/>
          <w:kern w:val="0"/>
          <w:sz w:val="32"/>
          <w:szCs w:val="32"/>
          <w:highlight w:val="none"/>
          <w:lang w:eastAsia="zh-CN"/>
        </w:rPr>
        <w:t>、财政拨款</w:t>
      </w:r>
      <w:r>
        <w:rPr>
          <w:rFonts w:hint="eastAsia" w:ascii="Times New Roman" w:hAnsi="Times New Roman" w:eastAsia="黑体" w:cs="宋体"/>
          <w:bCs/>
          <w:kern w:val="0"/>
          <w:sz w:val="32"/>
          <w:szCs w:val="32"/>
          <w:highlight w:val="none"/>
        </w:rPr>
        <w:t>“三公”经费支出</w:t>
      </w:r>
      <w:r>
        <w:rPr>
          <w:rFonts w:hint="eastAsia" w:ascii="Times New Roman" w:hAnsi="Times New Roman" w:eastAsia="黑体" w:cs="宋体"/>
          <w:bCs/>
          <w:kern w:val="0"/>
          <w:sz w:val="32"/>
          <w:szCs w:val="32"/>
          <w:highlight w:val="none"/>
          <w:lang w:eastAsia="zh-CN"/>
        </w:rPr>
        <w:t>决算</w:t>
      </w:r>
      <w:r>
        <w:rPr>
          <w:rFonts w:hint="eastAsia" w:ascii="Times New Roman" w:hAnsi="Times New Roman" w:eastAsia="黑体" w:cs="宋体"/>
          <w:bCs/>
          <w:kern w:val="0"/>
          <w:sz w:val="32"/>
          <w:szCs w:val="32"/>
          <w:highlight w:val="none"/>
        </w:rPr>
        <w:t>情况</w:t>
      </w:r>
      <w:r>
        <w:rPr>
          <w:rFonts w:hint="eastAsia" w:ascii="Times New Roman" w:hAnsi="Times New Roman" w:eastAsia="黑体" w:cs="宋体"/>
          <w:bCs/>
          <w:kern w:val="0"/>
          <w:sz w:val="32"/>
          <w:szCs w:val="32"/>
          <w:highlight w:val="none"/>
          <w:lang w:eastAsia="zh-CN"/>
        </w:rPr>
        <w:t>说明</w:t>
      </w:r>
      <w:bookmarkEnd w:id="26"/>
      <w:bookmarkEnd w:id="27"/>
    </w:p>
    <w:p w14:paraId="6A192A98">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b w:val="0"/>
          <w:bCs w:val="0"/>
          <w:spacing w:val="0"/>
          <w:sz w:val="32"/>
          <w:szCs w:val="32"/>
          <w:highlight w:val="none"/>
          <w:lang w:eastAsia="zh-CN"/>
        </w:rPr>
      </w:pPr>
      <w:r>
        <w:rPr>
          <w:rFonts w:hint="eastAsia" w:ascii="Times New Roman" w:hAnsi="Times New Roman" w:eastAsia="仿宋_GB2312"/>
          <w:b w:val="0"/>
          <w:bCs w:val="0"/>
          <w:spacing w:val="0"/>
          <w:sz w:val="32"/>
          <w:szCs w:val="32"/>
          <w:highlight w:val="none"/>
          <w:lang w:eastAsia="zh-CN"/>
        </w:rPr>
        <w:t>2024年度财政拨款“三公”经费支出0.00万元，与上年相比无变化，主要原因是：本年度我单位未安排“三公”经费支出。其中：因公出国（境）费支出0.00万元,占0.00%，与上年相比无变化，主要原因是：本年度我单位未安排因公出国（境）经费支出；公务用车购置及运行维护费支出0.00万元，占0.00%，与上年相比无变化，主要原因是：本年度我单位未安排公务用车购置及运行维护费支出；公务接待费支出0.00万元，占0.00%，与上年相比无变化，主要原因是：本年度我单位未安排公务接待费支出。</w:t>
      </w:r>
    </w:p>
    <w:p w14:paraId="6D4CEF40">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b w:val="0"/>
          <w:bCs w:val="0"/>
          <w:spacing w:val="0"/>
          <w:sz w:val="32"/>
          <w:szCs w:val="32"/>
          <w:highlight w:val="none"/>
          <w:lang w:eastAsia="zh-CN"/>
        </w:rPr>
      </w:pPr>
      <w:r>
        <w:rPr>
          <w:rFonts w:hint="eastAsia" w:ascii="Times New Roman" w:hAnsi="Times New Roman" w:eastAsia="仿宋_GB2312"/>
          <w:b w:val="0"/>
          <w:bCs w:val="0"/>
          <w:spacing w:val="0"/>
          <w:sz w:val="32"/>
          <w:szCs w:val="32"/>
          <w:highlight w:val="none"/>
          <w:lang w:eastAsia="zh-CN"/>
        </w:rPr>
        <w:t>具体情况如下：</w:t>
      </w:r>
    </w:p>
    <w:p w14:paraId="5487B5EA">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b w:val="0"/>
          <w:bCs w:val="0"/>
          <w:spacing w:val="0"/>
          <w:sz w:val="32"/>
          <w:szCs w:val="32"/>
          <w:highlight w:val="none"/>
          <w:lang w:eastAsia="zh-CN"/>
        </w:rPr>
      </w:pPr>
      <w:r>
        <w:rPr>
          <w:rFonts w:hint="eastAsia" w:ascii="Times New Roman" w:hAnsi="Times New Roman" w:eastAsia="仿宋_GB2312"/>
          <w:b w:val="0"/>
          <w:bCs w:val="0"/>
          <w:spacing w:val="0"/>
          <w:sz w:val="32"/>
          <w:szCs w:val="32"/>
          <w:highlight w:val="none"/>
          <w:lang w:eastAsia="zh-CN"/>
        </w:rPr>
        <w:t>因公出国（境）费支出0.00万元，开支内容包括：因公出国（境）费，本年度我单位未安排因公出国（境）经费支出。单位全年安排的因公出国（境）团组0个，因公出国（境）0人次。</w:t>
      </w:r>
    </w:p>
    <w:p w14:paraId="41159D04">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b w:val="0"/>
          <w:bCs w:val="0"/>
          <w:spacing w:val="0"/>
          <w:sz w:val="32"/>
          <w:szCs w:val="32"/>
          <w:highlight w:val="none"/>
          <w:lang w:eastAsia="zh-CN"/>
        </w:rPr>
      </w:pPr>
      <w:r>
        <w:rPr>
          <w:rFonts w:hint="eastAsia" w:ascii="Times New Roman" w:hAnsi="Times New Roman" w:eastAsia="仿宋_GB2312"/>
          <w:b w:val="0"/>
          <w:bCs w:val="0"/>
          <w:spacing w:val="0"/>
          <w:sz w:val="32"/>
          <w:szCs w:val="32"/>
          <w:highlight w:val="none"/>
          <w:lang w:eastAsia="zh-CN"/>
        </w:rPr>
        <w:t>公务用车购置及运行维护费0.00万元，其中：公务用车购置费0.00万元，公务用车运行维护费0.00万元。公务用车运行维护费开支内容包括公务用车购置及运行维护费，本年度我单位未安排公务用车购置及运行维护费支出。公务用车购置数0辆，公务用车保有量0辆。国有资产占用情况中固定资产车辆0辆，与公务用车保有量差异原因是：本单位无公务用车，与公务用车保有量无差异。</w:t>
      </w:r>
    </w:p>
    <w:p w14:paraId="467E3D5B">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b w:val="0"/>
          <w:bCs w:val="0"/>
          <w:spacing w:val="0"/>
          <w:sz w:val="32"/>
          <w:szCs w:val="32"/>
          <w:highlight w:val="none"/>
          <w:lang w:eastAsia="zh-CN"/>
        </w:rPr>
      </w:pPr>
      <w:r>
        <w:rPr>
          <w:rFonts w:hint="eastAsia" w:ascii="Times New Roman" w:hAnsi="Times New Roman" w:eastAsia="仿宋_GB2312"/>
          <w:b w:val="0"/>
          <w:bCs w:val="0"/>
          <w:spacing w:val="0"/>
          <w:sz w:val="32"/>
          <w:szCs w:val="32"/>
          <w:highlight w:val="none"/>
          <w:lang w:eastAsia="zh-CN"/>
        </w:rPr>
        <w:t>公务接待费0.00万元，开支内容包括公务接待费，本年度我单位未安排公务接待费支出。单位全年安排的国内公务接待0批次，0人次。</w:t>
      </w:r>
    </w:p>
    <w:p w14:paraId="719B0CEA">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b w:val="0"/>
          <w:bCs w:val="0"/>
          <w:spacing w:val="0"/>
          <w:sz w:val="32"/>
          <w:szCs w:val="32"/>
          <w:highlight w:val="none"/>
          <w:lang w:eastAsia="zh-CN"/>
        </w:rPr>
        <w:t>与全年预算相比，财政拨款“三公”经费支出全年预算数0.00万元，决算数0.00万元，预决算差异率0.00%，主要原因是：本年度我单位未安排“三公”经费支出。其中：因公出国（境）费全年预算数0.00万元，决算数0.00万元，预决算差异率0.00%，主要原因是：本年度我单位未安排因公出国（境）经费支出；公务用车购置费全年预算数0.00万元，决算数0.00万元，预决算差异率0.00%，主要原因是：本年度我单位未安排公务用车购置费支出；公务用车运行维护费全年预算数0.00万元，决算数0.00万元，预决算差异率0.00%，主要原因是：本年度我单位未安排公务用车运行维护费支出；公务接待费全年预算数0.00万元，决算数0.00万元，预决算差异率0.00%，主要原因是：本年度我单位未安排公务接待费支出。</w:t>
      </w:r>
    </w:p>
    <w:p w14:paraId="56E9FDA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kern w:val="0"/>
          <w:sz w:val="32"/>
          <w:szCs w:val="32"/>
          <w:highlight w:val="none"/>
          <w:lang w:eastAsia="zh-CN"/>
        </w:rPr>
      </w:pPr>
      <w:bookmarkStart w:id="28" w:name="_Toc7314"/>
      <w:bookmarkStart w:id="29" w:name="_Toc16395"/>
      <w:r>
        <w:rPr>
          <w:rFonts w:hint="eastAsia" w:ascii="Times New Roman" w:hAnsi="Times New Roman" w:eastAsia="黑体" w:cs="宋体"/>
          <w:bCs/>
          <w:kern w:val="0"/>
          <w:sz w:val="32"/>
          <w:szCs w:val="32"/>
          <w:highlight w:val="none"/>
          <w:lang w:eastAsia="zh-CN"/>
        </w:rPr>
        <w:t>十</w:t>
      </w:r>
      <w:r>
        <w:rPr>
          <w:rFonts w:hint="eastAsia" w:ascii="Times New Roman" w:hAnsi="Times New Roman" w:eastAsia="黑体" w:cs="宋体"/>
          <w:bCs/>
          <w:kern w:val="0"/>
          <w:sz w:val="32"/>
          <w:szCs w:val="32"/>
          <w:highlight w:val="none"/>
        </w:rPr>
        <w:t>、其他重要事项的情况</w:t>
      </w:r>
      <w:r>
        <w:rPr>
          <w:rFonts w:hint="eastAsia" w:ascii="Times New Roman" w:hAnsi="Times New Roman" w:eastAsia="黑体" w:cs="宋体"/>
          <w:bCs/>
          <w:kern w:val="0"/>
          <w:sz w:val="32"/>
          <w:szCs w:val="32"/>
          <w:highlight w:val="none"/>
          <w:lang w:eastAsia="zh-CN"/>
        </w:rPr>
        <w:t>说明</w:t>
      </w:r>
      <w:bookmarkEnd w:id="28"/>
      <w:bookmarkEnd w:id="29"/>
    </w:p>
    <w:p w14:paraId="0537D23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Times New Roman" w:hAnsi="Times New Roman" w:eastAsia="黑体"/>
          <w:sz w:val="32"/>
          <w:szCs w:val="32"/>
          <w:highlight w:val="none"/>
        </w:rPr>
      </w:pPr>
      <w:bookmarkStart w:id="30" w:name="_Toc21748"/>
      <w:bookmarkStart w:id="31" w:name="_Toc13105"/>
      <w:r>
        <w:rPr>
          <w:rFonts w:hint="eastAsia" w:ascii="Times New Roman" w:hAnsi="Times New Roman" w:eastAsia="黑体"/>
          <w:sz w:val="32"/>
          <w:szCs w:val="32"/>
          <w:highlight w:val="none"/>
          <w:lang w:eastAsia="zh-CN"/>
        </w:rPr>
        <w:t>（一）</w:t>
      </w:r>
      <w:r>
        <w:rPr>
          <w:rFonts w:hint="eastAsia" w:ascii="Times New Roman" w:hAnsi="Times New Roman" w:eastAsia="黑体"/>
          <w:sz w:val="32"/>
          <w:szCs w:val="32"/>
          <w:highlight w:val="none"/>
        </w:rPr>
        <w:t>机关运行经费</w:t>
      </w:r>
      <w:r>
        <w:rPr>
          <w:rFonts w:hint="eastAsia" w:ascii="Times New Roman" w:hAnsi="Times New Roman" w:eastAsia="黑体"/>
          <w:sz w:val="32"/>
          <w:szCs w:val="32"/>
          <w:highlight w:val="none"/>
          <w:lang w:val="en-US" w:eastAsia="zh-CN"/>
        </w:rPr>
        <w:t>及公用经费</w:t>
      </w:r>
      <w:r>
        <w:rPr>
          <w:rFonts w:hint="eastAsia" w:ascii="Times New Roman" w:hAnsi="Times New Roman" w:eastAsia="黑体"/>
          <w:sz w:val="32"/>
          <w:szCs w:val="32"/>
          <w:highlight w:val="none"/>
        </w:rPr>
        <w:t>支出情况</w:t>
      </w:r>
      <w:bookmarkEnd w:id="30"/>
      <w:bookmarkEnd w:id="31"/>
    </w:p>
    <w:p w14:paraId="47AF3E9E">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pacing w:val="0"/>
          <w:sz w:val="32"/>
          <w:szCs w:val="32"/>
          <w:highlight w:val="none"/>
          <w:lang w:eastAsia="zh-CN"/>
        </w:rPr>
        <w:t>2024年度新疆维吾尔自治区区外投资企业服务中心单位（事业单位）公用经费支出5.01万元，比上年增加0.19万元，增长3.94%，主要原因是：</w:t>
      </w:r>
      <w:bookmarkStart w:id="59" w:name="_GoBack"/>
      <w:bookmarkEnd w:id="59"/>
      <w:r>
        <w:rPr>
          <w:rFonts w:hint="eastAsia" w:eastAsia="仿宋_GB2312"/>
          <w:spacing w:val="0"/>
          <w:sz w:val="32"/>
          <w:szCs w:val="32"/>
          <w:highlight w:val="none"/>
          <w:lang w:eastAsia="zh-CN"/>
        </w:rPr>
        <w:t>人员岗位等级调整</w:t>
      </w:r>
      <w:r>
        <w:rPr>
          <w:rFonts w:hint="eastAsia" w:ascii="Times New Roman" w:hAnsi="Times New Roman" w:eastAsia="仿宋_GB2312"/>
          <w:spacing w:val="0"/>
          <w:sz w:val="32"/>
          <w:szCs w:val="32"/>
          <w:highlight w:val="none"/>
          <w:lang w:eastAsia="zh-CN"/>
        </w:rPr>
        <w:t>，</w:t>
      </w:r>
      <w:r>
        <w:rPr>
          <w:rFonts w:hint="eastAsia" w:eastAsia="仿宋_GB2312"/>
          <w:spacing w:val="0"/>
          <w:sz w:val="32"/>
          <w:szCs w:val="32"/>
          <w:highlight w:val="none"/>
          <w:lang w:eastAsia="zh-CN"/>
        </w:rPr>
        <w:t>公用经费拨款增加，</w:t>
      </w:r>
      <w:r>
        <w:rPr>
          <w:rFonts w:hint="eastAsia" w:ascii="Times New Roman" w:hAnsi="Times New Roman" w:eastAsia="仿宋_GB2312"/>
          <w:spacing w:val="0"/>
          <w:sz w:val="32"/>
          <w:szCs w:val="32"/>
          <w:highlight w:val="none"/>
          <w:lang w:eastAsia="zh-CN"/>
        </w:rPr>
        <w:t>支出较上年增加</w:t>
      </w:r>
      <w:r>
        <w:rPr>
          <w:rFonts w:hint="eastAsia" w:ascii="Times New Roman" w:hAnsi="Times New Roman" w:eastAsia="仿宋_GB2312"/>
          <w:sz w:val="32"/>
          <w:szCs w:val="32"/>
          <w:highlight w:val="none"/>
        </w:rPr>
        <w:t>。</w:t>
      </w:r>
    </w:p>
    <w:p w14:paraId="0C1E281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Times New Roman" w:hAnsi="Times New Roman" w:eastAsia="黑体"/>
          <w:sz w:val="32"/>
          <w:szCs w:val="32"/>
          <w:highlight w:val="none"/>
          <w:lang w:eastAsia="zh-CN"/>
        </w:rPr>
      </w:pPr>
      <w:bookmarkStart w:id="32" w:name="_Toc25177"/>
      <w:bookmarkStart w:id="33" w:name="_Toc26704"/>
      <w:r>
        <w:rPr>
          <w:rFonts w:hint="eastAsia" w:ascii="Times New Roman" w:hAnsi="Times New Roman" w:eastAsia="黑体"/>
          <w:sz w:val="32"/>
          <w:szCs w:val="32"/>
          <w:highlight w:val="none"/>
          <w:lang w:eastAsia="zh-CN"/>
        </w:rPr>
        <w:t>（二）政府采购情况</w:t>
      </w:r>
      <w:bookmarkEnd w:id="32"/>
      <w:bookmarkEnd w:id="33"/>
    </w:p>
    <w:p w14:paraId="1CFC4DC5">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spacing w:val="0"/>
          <w:sz w:val="32"/>
          <w:szCs w:val="32"/>
          <w:highlight w:val="none"/>
          <w:lang w:eastAsia="zh-CN"/>
        </w:rPr>
      </w:pPr>
      <w:r>
        <w:rPr>
          <w:rFonts w:hint="eastAsia" w:ascii="Times New Roman" w:hAnsi="Times New Roman" w:eastAsia="仿宋_GB2312"/>
          <w:spacing w:val="0"/>
          <w:sz w:val="32"/>
          <w:szCs w:val="32"/>
          <w:highlight w:val="none"/>
          <w:lang w:eastAsia="zh-CN"/>
        </w:rPr>
        <w:t>2024年度政府采购支出总额0.00万元，其中：政府采购货物支出0.00万元、政府采购工程支出0.00万元、政府采购服务支出0.00万元。</w:t>
      </w:r>
    </w:p>
    <w:p w14:paraId="5B7F97A3">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pacing w:val="0"/>
          <w:sz w:val="32"/>
          <w:szCs w:val="32"/>
          <w:highlight w:val="none"/>
          <w:lang w:eastAsia="zh-CN"/>
        </w:rPr>
        <w:t>授予中小企业合同金额0.00万元，占政府采购支出总额的0.00%，其中：授予小微企业合同金额0.00万元，占政府采购支出总额的0.00%</w:t>
      </w:r>
      <w:r>
        <w:rPr>
          <w:rFonts w:hint="eastAsia" w:ascii="Times New Roman" w:hAnsi="Times New Roman" w:eastAsia="仿宋_GB2312"/>
          <w:sz w:val="32"/>
          <w:szCs w:val="32"/>
          <w:highlight w:val="none"/>
          <w:lang w:val="en-US" w:eastAsia="zh-CN"/>
        </w:rPr>
        <w:t>。</w:t>
      </w:r>
    </w:p>
    <w:p w14:paraId="4BA6238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Times New Roman" w:hAnsi="Times New Roman" w:eastAsia="黑体"/>
          <w:sz w:val="32"/>
          <w:szCs w:val="32"/>
          <w:highlight w:val="none"/>
          <w:lang w:eastAsia="zh-CN"/>
        </w:rPr>
      </w:pPr>
      <w:bookmarkStart w:id="34" w:name="_Toc4591"/>
      <w:bookmarkStart w:id="35" w:name="_Toc31294"/>
      <w:r>
        <w:rPr>
          <w:rFonts w:hint="eastAsia" w:ascii="Times New Roman" w:hAnsi="Times New Roman" w:eastAsia="黑体"/>
          <w:sz w:val="32"/>
          <w:szCs w:val="32"/>
          <w:highlight w:val="none"/>
          <w:lang w:eastAsia="zh-CN"/>
        </w:rPr>
        <w:t>（三）国有资产占用情况说明</w:t>
      </w:r>
      <w:bookmarkEnd w:id="34"/>
      <w:bookmarkEnd w:id="35"/>
    </w:p>
    <w:p w14:paraId="2A43EA57">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本单位无其他用车;单价100万元（含）以上设备（不含车辆）0台（套）</w:t>
      </w:r>
      <w:r>
        <w:rPr>
          <w:rFonts w:hint="eastAsia" w:ascii="Times New Roman" w:hAnsi="Times New Roman" w:eastAsia="仿宋_GB2312"/>
          <w:sz w:val="32"/>
          <w:szCs w:val="32"/>
          <w:highlight w:val="none"/>
        </w:rPr>
        <w:t>。</w:t>
      </w:r>
    </w:p>
    <w:p w14:paraId="35AEC8B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sz w:val="32"/>
          <w:szCs w:val="32"/>
          <w:highlight w:val="none"/>
          <w:lang w:eastAsia="zh-CN"/>
        </w:rPr>
      </w:pPr>
      <w:bookmarkStart w:id="36" w:name="_Toc17664"/>
      <w:bookmarkStart w:id="37" w:name="_Toc435"/>
      <w:r>
        <w:rPr>
          <w:rFonts w:hint="eastAsia" w:ascii="Times New Roman" w:hAnsi="Times New Roman" w:eastAsia="黑体" w:cs="宋体"/>
          <w:bCs/>
          <w:kern w:val="0"/>
          <w:sz w:val="32"/>
          <w:szCs w:val="32"/>
          <w:highlight w:val="none"/>
          <w:lang w:eastAsia="zh-CN"/>
        </w:rPr>
        <w:t>十</w:t>
      </w:r>
      <w:r>
        <w:rPr>
          <w:rFonts w:hint="eastAsia" w:ascii="Times New Roman" w:hAnsi="Times New Roman" w:eastAsia="黑体" w:cs="宋体"/>
          <w:bCs/>
          <w:kern w:val="0"/>
          <w:sz w:val="32"/>
          <w:szCs w:val="32"/>
          <w:highlight w:val="none"/>
          <w:lang w:val="en-US" w:eastAsia="zh-CN"/>
        </w:rPr>
        <w:t>一</w:t>
      </w:r>
      <w:r>
        <w:rPr>
          <w:rFonts w:hint="eastAsia" w:ascii="Times New Roman" w:hAnsi="Times New Roman" w:eastAsia="黑体" w:cs="宋体"/>
          <w:bCs/>
          <w:kern w:val="0"/>
          <w:sz w:val="32"/>
          <w:szCs w:val="32"/>
          <w:highlight w:val="none"/>
          <w:lang w:eastAsia="zh-CN"/>
        </w:rPr>
        <w:t>、预算绩效的情况说明</w:t>
      </w:r>
      <w:bookmarkEnd w:id="36"/>
      <w:bookmarkEnd w:id="37"/>
    </w:p>
    <w:p w14:paraId="557BFEA2">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根据预算绩效管理要求，本单位2024年度预算绩效评价项目0个，全年预算数0.00万元，全年执行数0.00万元。</w:t>
      </w:r>
    </w:p>
    <w:p w14:paraId="5AA22591">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预算绩效管理取得的成效：一是健全全流程绩效管理框架，严控资金减少浪费，二是绩效评价结果用于预算调整。发现的问题及原因：绩效评价结果与预算编制关联，但应用范围较为有限。下一步改进措施：从强意识、优目标、加监控、深应用、建队伍五方面入手，如定指引、搭平台、联考核，提升管理水平。具体附项目支出绩效自评表</w:t>
      </w:r>
      <w:r>
        <w:rPr>
          <w:rFonts w:hint="eastAsia" w:ascii="Times New Roman" w:hAnsi="Times New Roman" w:eastAsia="仿宋_GB2312" w:cs="仿宋_GB2312"/>
          <w:b w:val="0"/>
          <w:bCs w:val="0"/>
          <w:color w:val="000000"/>
          <w:kern w:val="0"/>
          <w:sz w:val="32"/>
          <w:szCs w:val="32"/>
          <w:lang w:val="en-US" w:eastAsia="zh-CN" w:bidi="ar"/>
        </w:rPr>
        <w:t>。</w:t>
      </w:r>
    </w:p>
    <w:p w14:paraId="19E4E09D">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黑体" w:cs="宋体"/>
          <w:bCs/>
          <w:kern w:val="0"/>
          <w:sz w:val="32"/>
          <w:szCs w:val="32"/>
          <w:highlight w:val="none"/>
          <w:lang w:eastAsia="zh-CN"/>
        </w:rPr>
      </w:pPr>
      <w:r>
        <w:rPr>
          <w:rFonts w:hint="eastAsia" w:ascii="Times New Roman" w:hAnsi="Times New Roman" w:eastAsia="黑体" w:cs="宋体"/>
          <w:bCs/>
          <w:kern w:val="0"/>
          <w:sz w:val="32"/>
          <w:szCs w:val="32"/>
          <w:highlight w:val="none"/>
          <w:lang w:eastAsia="zh-CN"/>
        </w:rPr>
        <w:t>十</w:t>
      </w:r>
      <w:r>
        <w:rPr>
          <w:rFonts w:hint="eastAsia" w:ascii="Times New Roman" w:hAnsi="Times New Roman" w:eastAsia="黑体" w:cs="宋体"/>
          <w:bCs/>
          <w:kern w:val="0"/>
          <w:sz w:val="32"/>
          <w:szCs w:val="32"/>
          <w:highlight w:val="none"/>
          <w:lang w:val="en-US" w:eastAsia="zh-CN"/>
        </w:rPr>
        <w:t>二</w:t>
      </w:r>
      <w:r>
        <w:rPr>
          <w:rFonts w:hint="eastAsia" w:ascii="Times New Roman" w:hAnsi="Times New Roman" w:eastAsia="黑体" w:cs="宋体"/>
          <w:bCs/>
          <w:kern w:val="0"/>
          <w:sz w:val="32"/>
          <w:szCs w:val="32"/>
          <w:highlight w:val="none"/>
          <w:lang w:eastAsia="zh-CN"/>
        </w:rPr>
        <w:t>、其他需说明的事项</w:t>
      </w:r>
    </w:p>
    <w:p w14:paraId="4E82256A">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cs="仿宋_GB2312"/>
          <w:b/>
          <w:bCs/>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本单位2024年授予中小企业合同、授予小微企业合同金额均为0.00万元，主要原因为本单位本年度未安排政府采购预算资金。</w:t>
      </w:r>
    </w:p>
    <w:p w14:paraId="74BB10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Times New Roman" w:hAnsi="Times New Roman" w:eastAsia="黑体"/>
          <w:sz w:val="32"/>
          <w:szCs w:val="32"/>
          <w:highlight w:val="none"/>
        </w:rPr>
      </w:pPr>
      <w:bookmarkStart w:id="38" w:name="_Toc24143"/>
      <w:r>
        <w:rPr>
          <w:rFonts w:hint="eastAsia" w:ascii="Times New Roman" w:hAnsi="Times New Roman" w:eastAsia="黑体"/>
          <w:sz w:val="32"/>
          <w:szCs w:val="32"/>
          <w:highlight w:val="none"/>
        </w:rPr>
        <w:br w:type="page"/>
      </w:r>
      <w:bookmarkStart w:id="39" w:name="_Toc30038"/>
      <w:r>
        <w:rPr>
          <w:rFonts w:hint="eastAsia" w:ascii="Times New Roman" w:hAnsi="Times New Roman" w:eastAsia="黑体"/>
          <w:sz w:val="32"/>
          <w:szCs w:val="32"/>
          <w:highlight w:val="none"/>
        </w:rPr>
        <w:t>第</w:t>
      </w:r>
      <w:r>
        <w:rPr>
          <w:rFonts w:hint="eastAsia" w:ascii="Times New Roman" w:hAnsi="Times New Roman" w:eastAsia="黑体"/>
          <w:sz w:val="32"/>
          <w:szCs w:val="32"/>
          <w:highlight w:val="none"/>
          <w:lang w:val="en-US" w:eastAsia="zh-CN"/>
        </w:rPr>
        <w:t>三</w:t>
      </w:r>
      <w:r>
        <w:rPr>
          <w:rFonts w:hint="eastAsia" w:ascii="Times New Roman" w:hAnsi="Times New Roman" w:eastAsia="黑体"/>
          <w:sz w:val="32"/>
          <w:szCs w:val="32"/>
          <w:highlight w:val="none"/>
        </w:rPr>
        <w:t>部分 专业名词解释</w:t>
      </w:r>
      <w:bookmarkEnd w:id="38"/>
      <w:bookmarkEnd w:id="39"/>
    </w:p>
    <w:p w14:paraId="36778A1A">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一、</w:t>
      </w:r>
      <w:r>
        <w:rPr>
          <w:rFonts w:hint="eastAsia" w:ascii="Times New Roman" w:hAnsi="Times New Roman" w:eastAsia="仿宋_GB2312"/>
          <w:b/>
          <w:bCs/>
          <w:sz w:val="32"/>
          <w:szCs w:val="32"/>
          <w:highlight w:val="none"/>
        </w:rPr>
        <w:t>财政拨款收入：</w:t>
      </w:r>
      <w:r>
        <w:rPr>
          <w:rFonts w:hint="eastAsia" w:ascii="Times New Roman" w:hAnsi="Times New Roman" w:eastAsia="仿宋_GB2312"/>
          <w:sz w:val="32"/>
          <w:szCs w:val="32"/>
          <w:highlight w:val="none"/>
        </w:rPr>
        <w:t>指同级财政当年拨付的资金。</w:t>
      </w:r>
    </w:p>
    <w:p w14:paraId="40C08EC3">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二、</w:t>
      </w:r>
      <w:r>
        <w:rPr>
          <w:rFonts w:hint="eastAsia" w:ascii="Times New Roman" w:hAnsi="Times New Roman" w:eastAsia="仿宋_GB2312"/>
          <w:b/>
          <w:bCs/>
          <w:sz w:val="32"/>
          <w:szCs w:val="32"/>
          <w:highlight w:val="none"/>
        </w:rPr>
        <w:t>上级补助收入：</w:t>
      </w:r>
      <w:r>
        <w:rPr>
          <w:rFonts w:hint="eastAsia" w:ascii="Times New Roman" w:hAnsi="Times New Roman" w:eastAsia="仿宋_GB2312"/>
          <w:sz w:val="32"/>
          <w:szCs w:val="32"/>
          <w:highlight w:val="none"/>
        </w:rPr>
        <w:t>指事业单位从主管部门和上级单位取得的非财政补助收入。</w:t>
      </w:r>
    </w:p>
    <w:p w14:paraId="343769E6">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三、</w:t>
      </w:r>
      <w:r>
        <w:rPr>
          <w:rFonts w:hint="eastAsia" w:ascii="Times New Roman" w:hAnsi="Times New Roman" w:eastAsia="仿宋_GB2312"/>
          <w:b/>
          <w:bCs/>
          <w:sz w:val="32"/>
          <w:szCs w:val="32"/>
          <w:highlight w:val="none"/>
        </w:rPr>
        <w:t>事业收入：</w:t>
      </w:r>
      <w:r>
        <w:rPr>
          <w:rFonts w:hint="eastAsia" w:ascii="Times New Roman" w:hAnsi="Times New Roman" w:eastAsia="仿宋_GB2312"/>
          <w:sz w:val="32"/>
          <w:szCs w:val="32"/>
          <w:highlight w:val="none"/>
        </w:rPr>
        <w:t>指事业单位开展专业业务活动及其辅助活动所取得的收入。</w:t>
      </w:r>
    </w:p>
    <w:p w14:paraId="1C42C812">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四、</w:t>
      </w:r>
      <w:r>
        <w:rPr>
          <w:rFonts w:hint="eastAsia" w:ascii="Times New Roman" w:hAnsi="Times New Roman" w:eastAsia="仿宋_GB2312"/>
          <w:b/>
          <w:bCs/>
          <w:sz w:val="32"/>
          <w:szCs w:val="32"/>
          <w:highlight w:val="none"/>
        </w:rPr>
        <w:t>经营收入：</w:t>
      </w:r>
      <w:r>
        <w:rPr>
          <w:rFonts w:hint="eastAsia" w:ascii="Times New Roman" w:hAnsi="Times New Roman" w:eastAsia="仿宋_GB2312"/>
          <w:sz w:val="32"/>
          <w:szCs w:val="32"/>
          <w:highlight w:val="none"/>
        </w:rPr>
        <w:t>指事业单位在专业业务活动及其辅助活动之外开展非独立核算经营活动取得的收入。</w:t>
      </w:r>
    </w:p>
    <w:p w14:paraId="4A01DB5E">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五、</w:t>
      </w:r>
      <w:r>
        <w:rPr>
          <w:rFonts w:hint="eastAsia" w:ascii="Times New Roman" w:hAnsi="Times New Roman" w:eastAsia="仿宋_GB2312"/>
          <w:b/>
          <w:bCs/>
          <w:sz w:val="32"/>
          <w:szCs w:val="32"/>
          <w:highlight w:val="none"/>
        </w:rPr>
        <w:t>附属单位上缴收入：</w:t>
      </w:r>
      <w:r>
        <w:rPr>
          <w:rFonts w:hint="eastAsia" w:ascii="Times New Roman" w:hAnsi="Times New Roman" w:eastAsia="仿宋_GB2312"/>
          <w:sz w:val="32"/>
          <w:szCs w:val="32"/>
          <w:highlight w:val="none"/>
        </w:rPr>
        <w:t>指事业单位附属的独立核算单位按有关规定上缴的收入。</w:t>
      </w:r>
    </w:p>
    <w:p w14:paraId="1575AC73">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六、</w:t>
      </w:r>
      <w:r>
        <w:rPr>
          <w:rFonts w:hint="eastAsia" w:ascii="Times New Roman" w:hAnsi="Times New Roman" w:eastAsia="仿宋_GB2312"/>
          <w:b/>
          <w:bCs/>
          <w:sz w:val="32"/>
          <w:szCs w:val="32"/>
          <w:highlight w:val="none"/>
        </w:rPr>
        <w:t>其他收入：</w:t>
      </w:r>
      <w:r>
        <w:rPr>
          <w:rFonts w:hint="eastAsia" w:ascii="Times New Roman" w:hAnsi="Times New Roman" w:eastAsia="仿宋_GB2312"/>
          <w:sz w:val="32"/>
          <w:szCs w:val="32"/>
          <w:highlight w:val="none"/>
        </w:rPr>
        <w:t>指除上述“财政拨款收入”、“事业收入”、“经营收入”、“附属单位上缴收入”等之外取得的收入。</w:t>
      </w:r>
    </w:p>
    <w:p w14:paraId="6DC89D93">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七、</w:t>
      </w:r>
      <w:r>
        <w:rPr>
          <w:rFonts w:hint="eastAsia" w:ascii="Times New Roman" w:hAnsi="Times New Roman" w:eastAsia="仿宋_GB2312"/>
          <w:b/>
          <w:bCs/>
          <w:sz w:val="32"/>
          <w:szCs w:val="32"/>
          <w:highlight w:val="none"/>
          <w:lang w:eastAsia="zh-CN"/>
        </w:rPr>
        <w:t>年初</w:t>
      </w:r>
      <w:r>
        <w:rPr>
          <w:rFonts w:hint="eastAsia" w:ascii="Times New Roman" w:hAnsi="Times New Roman" w:eastAsia="仿宋_GB2312"/>
          <w:b/>
          <w:bCs/>
          <w:sz w:val="32"/>
          <w:szCs w:val="32"/>
          <w:highlight w:val="none"/>
        </w:rPr>
        <w:t>结转和结余：</w:t>
      </w:r>
      <w:r>
        <w:rPr>
          <w:rFonts w:hint="eastAsia" w:ascii="Times New Roman" w:hAnsi="Times New Roman" w:eastAsia="仿宋_GB2312"/>
          <w:sz w:val="32"/>
          <w:szCs w:val="32"/>
          <w:highlight w:val="none"/>
        </w:rPr>
        <w:t>指以前年度支出预算因客观条件变化未执行完毕、结转到本年度按有关规定继续使用的资金，既包括财政拨款结转和结余，也包括事业收入、经营收入、其他收入的结转和结余。</w:t>
      </w:r>
    </w:p>
    <w:p w14:paraId="3951C243">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八、</w:t>
      </w:r>
      <w:r>
        <w:rPr>
          <w:rFonts w:hint="eastAsia" w:ascii="Times New Roman" w:hAnsi="Times New Roman" w:eastAsia="仿宋_GB2312"/>
          <w:b/>
          <w:bCs/>
          <w:sz w:val="32"/>
          <w:szCs w:val="32"/>
          <w:highlight w:val="none"/>
        </w:rPr>
        <w:t>年末结转和结余：</w:t>
      </w:r>
      <w:r>
        <w:rPr>
          <w:rFonts w:hint="eastAsia" w:ascii="Times New Roman" w:hAnsi="Times New Roman" w:eastAsia="仿宋_GB2312"/>
          <w:sz w:val="32"/>
          <w:szCs w:val="32"/>
          <w:highlight w:val="none"/>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2CDE57AA">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九、</w:t>
      </w:r>
      <w:r>
        <w:rPr>
          <w:rFonts w:hint="eastAsia" w:ascii="Times New Roman" w:hAnsi="Times New Roman" w:eastAsia="仿宋_GB2312"/>
          <w:b/>
          <w:bCs/>
          <w:sz w:val="32"/>
          <w:szCs w:val="32"/>
          <w:highlight w:val="none"/>
        </w:rPr>
        <w:t>基本支出：</w:t>
      </w:r>
      <w:r>
        <w:rPr>
          <w:rFonts w:hint="eastAsia" w:ascii="Times New Roman" w:hAnsi="Times New Roman" w:eastAsia="仿宋_GB2312"/>
          <w:sz w:val="32"/>
          <w:szCs w:val="32"/>
          <w:highlight w:val="none"/>
        </w:rPr>
        <w:t>指为保障机构正常运转、完成日常工作任务而发生的人员支出和公用支出。</w:t>
      </w:r>
    </w:p>
    <w:p w14:paraId="656F92E0">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十、</w:t>
      </w:r>
      <w:r>
        <w:rPr>
          <w:rFonts w:hint="eastAsia" w:ascii="Times New Roman" w:hAnsi="Times New Roman" w:eastAsia="仿宋_GB2312"/>
          <w:b/>
          <w:bCs/>
          <w:sz w:val="32"/>
          <w:szCs w:val="32"/>
          <w:highlight w:val="none"/>
        </w:rPr>
        <w:t>项目支出：</w:t>
      </w:r>
      <w:r>
        <w:rPr>
          <w:rFonts w:hint="eastAsia" w:ascii="Times New Roman" w:hAnsi="Times New Roman" w:eastAsia="仿宋_GB2312"/>
          <w:sz w:val="32"/>
          <w:szCs w:val="32"/>
          <w:highlight w:val="none"/>
        </w:rPr>
        <w:t>指在基本支出之外为完成特定行政任务和事业发展目标所发生的支出。</w:t>
      </w:r>
    </w:p>
    <w:p w14:paraId="2CA01EC3">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十一、</w:t>
      </w:r>
      <w:r>
        <w:rPr>
          <w:rFonts w:hint="eastAsia" w:ascii="Times New Roman" w:hAnsi="Times New Roman" w:eastAsia="仿宋_GB2312"/>
          <w:b/>
          <w:bCs/>
          <w:sz w:val="32"/>
          <w:szCs w:val="32"/>
          <w:highlight w:val="none"/>
        </w:rPr>
        <w:t>经营支出：</w:t>
      </w:r>
      <w:r>
        <w:rPr>
          <w:rFonts w:hint="eastAsia" w:ascii="Times New Roman" w:hAnsi="Times New Roman" w:eastAsia="仿宋_GB2312"/>
          <w:sz w:val="32"/>
          <w:szCs w:val="32"/>
          <w:highlight w:val="none"/>
        </w:rPr>
        <w:t>指事业单位在专业业务活动及其辅助活动之外开展非独立核算经营活动发生的支出。</w:t>
      </w:r>
    </w:p>
    <w:p w14:paraId="012AE864">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十二、</w:t>
      </w:r>
      <w:r>
        <w:rPr>
          <w:rFonts w:hint="eastAsia" w:ascii="Times New Roman" w:hAnsi="Times New Roman" w:eastAsia="仿宋_GB2312"/>
          <w:b/>
          <w:bCs/>
          <w:sz w:val="32"/>
          <w:szCs w:val="32"/>
          <w:highlight w:val="none"/>
        </w:rPr>
        <w:t>对附属单位补助支出：</w:t>
      </w:r>
      <w:r>
        <w:rPr>
          <w:rFonts w:hint="eastAsia" w:ascii="Times New Roman" w:hAnsi="Times New Roman" w:eastAsia="仿宋_GB2312"/>
          <w:sz w:val="32"/>
          <w:szCs w:val="32"/>
          <w:highlight w:val="none"/>
        </w:rPr>
        <w:t>指事业单位发生的用非财政预算资金对附属单位的补助支出。</w:t>
      </w:r>
    </w:p>
    <w:p w14:paraId="7B059F46">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b/>
          <w:bCs/>
          <w:sz w:val="32"/>
          <w:szCs w:val="32"/>
          <w:highlight w:val="none"/>
          <w:lang w:val="en-US" w:eastAsia="zh-CN"/>
        </w:rPr>
        <w:t>十三、</w:t>
      </w:r>
      <w:r>
        <w:rPr>
          <w:rFonts w:hint="eastAsia" w:ascii="Times New Roman" w:hAnsi="Times New Roman" w:eastAsia="仿宋_GB2312"/>
          <w:b/>
          <w:bCs/>
          <w:sz w:val="32"/>
          <w:szCs w:val="32"/>
          <w:highlight w:val="none"/>
        </w:rPr>
        <w:t>“三公”经费：</w:t>
      </w:r>
      <w:r>
        <w:rPr>
          <w:rFonts w:hint="eastAsia" w:ascii="Times New Roman" w:hAnsi="Times New Roman" w:eastAsia="仿宋_GB2312"/>
          <w:sz w:val="32"/>
          <w:szCs w:val="32"/>
          <w:highlight w:val="none"/>
        </w:rPr>
        <w:t>指用财政拨款安排的因公出国（境）费、公务用车购置及运行费和公务接待费。其中，因公出国（境）费反映单位公务出国（境）的</w:t>
      </w:r>
      <w:r>
        <w:rPr>
          <w:rFonts w:hint="eastAsia" w:ascii="Times New Roman" w:hAnsi="Times New Roman" w:eastAsia="仿宋_GB2312"/>
          <w:sz w:val="32"/>
          <w:szCs w:val="32"/>
          <w:highlight w:val="none"/>
          <w:lang w:eastAsia="zh-CN"/>
        </w:rPr>
        <w:t>国际旅费、国外城市间交通费、</w:t>
      </w:r>
      <w:r>
        <w:rPr>
          <w:rFonts w:hint="eastAsia" w:ascii="Times New Roman" w:hAnsi="Times New Roman" w:eastAsia="仿宋_GB2312"/>
          <w:sz w:val="32"/>
          <w:szCs w:val="32"/>
          <w:highlight w:val="none"/>
        </w:rPr>
        <w:t>住宿费、伙食费、培训费、</w:t>
      </w:r>
      <w:r>
        <w:rPr>
          <w:rFonts w:hint="eastAsia" w:ascii="Times New Roman" w:hAnsi="Times New Roman" w:eastAsia="仿宋_GB2312"/>
          <w:sz w:val="32"/>
          <w:szCs w:val="32"/>
          <w:highlight w:val="none"/>
          <w:lang w:eastAsia="zh-CN"/>
        </w:rPr>
        <w:t>公</w:t>
      </w:r>
      <w:r>
        <w:rPr>
          <w:rFonts w:hint="eastAsia" w:ascii="Times New Roman" w:hAnsi="Times New Roman" w:eastAsia="仿宋_GB2312"/>
          <w:sz w:val="32"/>
          <w:szCs w:val="32"/>
          <w:highlight w:val="none"/>
        </w:rPr>
        <w:t>杂费等支出；公务用车购置</w:t>
      </w:r>
      <w:r>
        <w:rPr>
          <w:rFonts w:hint="eastAsia" w:ascii="Times New Roman" w:hAnsi="Times New Roman" w:eastAsia="仿宋_GB2312"/>
          <w:sz w:val="32"/>
          <w:szCs w:val="32"/>
          <w:highlight w:val="none"/>
          <w:lang w:eastAsia="zh-CN"/>
        </w:rPr>
        <w:t>反映公务用车购置支出（含车辆购置税、牌照费）；</w:t>
      </w:r>
      <w:r>
        <w:rPr>
          <w:rFonts w:hint="eastAsia" w:ascii="Times New Roman" w:hAnsi="Times New Roman" w:eastAsia="仿宋_GB2312"/>
          <w:sz w:val="32"/>
          <w:szCs w:val="32"/>
          <w:highlight w:val="none"/>
        </w:rPr>
        <w:t>公务用车运行</w:t>
      </w:r>
      <w:r>
        <w:rPr>
          <w:rFonts w:hint="eastAsia" w:ascii="Times New Roman" w:hAnsi="Times New Roman" w:eastAsia="仿宋_GB2312"/>
          <w:sz w:val="32"/>
          <w:szCs w:val="32"/>
          <w:highlight w:val="none"/>
          <w:lang w:eastAsia="zh-CN"/>
        </w:rPr>
        <w:t>维护</w:t>
      </w:r>
      <w:r>
        <w:rPr>
          <w:rFonts w:hint="eastAsia" w:ascii="Times New Roman" w:hAnsi="Times New Roman" w:eastAsia="仿宋_GB2312"/>
          <w:sz w:val="32"/>
          <w:szCs w:val="32"/>
          <w:highlight w:val="none"/>
        </w:rPr>
        <w:t>费反映</w:t>
      </w:r>
      <w:r>
        <w:rPr>
          <w:rFonts w:hint="eastAsia" w:ascii="Times New Roman" w:hAnsi="Times New Roman" w:eastAsia="仿宋_GB2312"/>
          <w:sz w:val="32"/>
          <w:szCs w:val="32"/>
          <w:highlight w:val="none"/>
          <w:lang w:eastAsia="zh-CN"/>
        </w:rPr>
        <w:t>单位按规定保留的公务用车燃料费、维修费、</w:t>
      </w:r>
      <w:r>
        <w:rPr>
          <w:rFonts w:hint="eastAsia" w:ascii="Times New Roman" w:hAnsi="Times New Roman" w:eastAsia="仿宋_GB2312"/>
          <w:sz w:val="32"/>
          <w:szCs w:val="32"/>
          <w:highlight w:val="none"/>
        </w:rPr>
        <w:t>过路过桥费、保险费、安全奖励费用等支出</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公务接待费反映单位按规定开支的各类公务接待（含外宾接待）</w:t>
      </w:r>
      <w:r>
        <w:rPr>
          <w:rFonts w:hint="eastAsia" w:ascii="Times New Roman" w:hAnsi="Times New Roman" w:eastAsia="仿宋_GB2312"/>
          <w:sz w:val="32"/>
          <w:szCs w:val="32"/>
          <w:highlight w:val="none"/>
          <w:lang w:eastAsia="zh-CN"/>
        </w:rPr>
        <w:t>费用</w:t>
      </w:r>
      <w:r>
        <w:rPr>
          <w:rFonts w:hint="eastAsia" w:ascii="Times New Roman" w:hAnsi="Times New Roman" w:eastAsia="仿宋_GB2312"/>
          <w:sz w:val="32"/>
          <w:szCs w:val="32"/>
          <w:highlight w:val="none"/>
        </w:rPr>
        <w:t>。</w:t>
      </w:r>
    </w:p>
    <w:p w14:paraId="2EDF2863">
      <w:pPr>
        <w:keepNext w:val="0"/>
        <w:keepLines w:val="0"/>
        <w:pageBreakBefore w:val="0"/>
        <w:widowControl w:val="0"/>
        <w:kinsoku/>
        <w:wordWrap/>
        <w:overflowPunct/>
        <w:topLinePunct w:val="0"/>
        <w:bidi w:val="0"/>
        <w:adjustRightInd/>
        <w:snapToGrid/>
        <w:spacing w:line="240" w:lineRule="auto"/>
        <w:ind w:firstLine="643"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十四、</w:t>
      </w:r>
      <w:r>
        <w:rPr>
          <w:rFonts w:hint="eastAsia" w:ascii="Times New Roman" w:hAnsi="Times New Roman" w:eastAsia="仿宋_GB2312"/>
          <w:b/>
          <w:bCs/>
          <w:sz w:val="32"/>
          <w:szCs w:val="32"/>
          <w:highlight w:val="none"/>
        </w:rPr>
        <w:t>机关运行经费：</w:t>
      </w:r>
      <w:r>
        <w:rPr>
          <w:rFonts w:hint="eastAsia" w:ascii="Times New Roman" w:hAnsi="Times New Roman" w:eastAsia="仿宋_GB2312"/>
          <w:sz w:val="32"/>
          <w:szCs w:val="32"/>
          <w:highlight w:val="none"/>
        </w:rPr>
        <w:t>行政单位和参照公务员法管理的事业单位财政拨款基本支出中的公用经费支出。</w:t>
      </w:r>
    </w:p>
    <w:p w14:paraId="1206857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Times New Roman" w:hAnsi="Times New Roman" w:eastAsia="黑体"/>
          <w:sz w:val="32"/>
          <w:szCs w:val="32"/>
          <w:highlight w:val="none"/>
        </w:rPr>
      </w:pPr>
      <w:r>
        <w:rPr>
          <w:rFonts w:hint="eastAsia" w:ascii="Times New Roman" w:hAnsi="Times New Roman" w:eastAsia="仿宋_GB2312"/>
          <w:sz w:val="32"/>
          <w:szCs w:val="32"/>
          <w:highlight w:val="none"/>
        </w:rPr>
        <w:br w:type="page"/>
      </w:r>
      <w:bookmarkStart w:id="40" w:name="_Toc6831"/>
      <w:r>
        <w:rPr>
          <w:rFonts w:hint="eastAsia" w:ascii="Times New Roman" w:hAnsi="Times New Roman" w:eastAsia="黑体"/>
          <w:sz w:val="32"/>
          <w:szCs w:val="32"/>
          <w:highlight w:val="none"/>
        </w:rPr>
        <w:t>第四部分 部门决算报表（见附表）</w:t>
      </w:r>
      <w:bookmarkEnd w:id="40"/>
    </w:p>
    <w:p w14:paraId="72A422E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仿宋_GB2312"/>
          <w:bCs/>
          <w:kern w:val="0"/>
          <w:sz w:val="32"/>
          <w:szCs w:val="32"/>
          <w:highlight w:val="none"/>
        </w:rPr>
      </w:pPr>
      <w:bookmarkStart w:id="41" w:name="_Toc6062"/>
      <w:bookmarkStart w:id="42" w:name="_Toc3845"/>
      <w:r>
        <w:rPr>
          <w:rFonts w:hint="eastAsia" w:ascii="Times New Roman" w:hAnsi="Times New Roman" w:eastAsia="仿宋_GB2312" w:cs="仿宋_GB2312"/>
          <w:bCs/>
          <w:kern w:val="0"/>
          <w:sz w:val="32"/>
          <w:szCs w:val="32"/>
          <w:highlight w:val="none"/>
        </w:rPr>
        <w:t>一、《收入支出决算总表》</w:t>
      </w:r>
      <w:bookmarkEnd w:id="41"/>
      <w:bookmarkEnd w:id="42"/>
    </w:p>
    <w:p w14:paraId="3CF030D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仿宋_GB2312"/>
          <w:bCs/>
          <w:kern w:val="0"/>
          <w:sz w:val="32"/>
          <w:szCs w:val="32"/>
          <w:highlight w:val="none"/>
        </w:rPr>
      </w:pPr>
      <w:bookmarkStart w:id="43" w:name="_Toc11927"/>
      <w:bookmarkStart w:id="44" w:name="_Toc30364"/>
      <w:r>
        <w:rPr>
          <w:rFonts w:hint="eastAsia" w:ascii="Times New Roman" w:hAnsi="Times New Roman" w:eastAsia="仿宋_GB2312" w:cs="仿宋_GB2312"/>
          <w:bCs/>
          <w:kern w:val="0"/>
          <w:sz w:val="32"/>
          <w:szCs w:val="32"/>
          <w:highlight w:val="none"/>
        </w:rPr>
        <w:t>二、《收入决算表》</w:t>
      </w:r>
      <w:bookmarkEnd w:id="43"/>
      <w:bookmarkEnd w:id="44"/>
    </w:p>
    <w:p w14:paraId="5AE304B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仿宋_GB2312"/>
          <w:bCs/>
          <w:kern w:val="0"/>
          <w:sz w:val="32"/>
          <w:szCs w:val="32"/>
          <w:highlight w:val="none"/>
        </w:rPr>
      </w:pPr>
      <w:bookmarkStart w:id="45" w:name="_Toc7443"/>
      <w:bookmarkStart w:id="46" w:name="_Toc21304"/>
      <w:r>
        <w:rPr>
          <w:rFonts w:hint="eastAsia" w:ascii="Times New Roman" w:hAnsi="Times New Roman" w:eastAsia="仿宋_GB2312" w:cs="仿宋_GB2312"/>
          <w:bCs/>
          <w:kern w:val="0"/>
          <w:sz w:val="32"/>
          <w:szCs w:val="32"/>
          <w:highlight w:val="none"/>
        </w:rPr>
        <w:t>三、《支出决算表》</w:t>
      </w:r>
      <w:bookmarkEnd w:id="45"/>
      <w:bookmarkEnd w:id="46"/>
    </w:p>
    <w:p w14:paraId="54507FE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仿宋_GB2312"/>
          <w:bCs/>
          <w:kern w:val="0"/>
          <w:sz w:val="32"/>
          <w:szCs w:val="32"/>
          <w:highlight w:val="none"/>
        </w:rPr>
      </w:pPr>
      <w:bookmarkStart w:id="47" w:name="_Toc24884"/>
      <w:bookmarkStart w:id="48" w:name="_Toc14238"/>
      <w:r>
        <w:rPr>
          <w:rFonts w:hint="eastAsia" w:ascii="Times New Roman" w:hAnsi="Times New Roman" w:eastAsia="仿宋_GB2312" w:cs="仿宋_GB2312"/>
          <w:bCs/>
          <w:kern w:val="0"/>
          <w:sz w:val="32"/>
          <w:szCs w:val="32"/>
          <w:highlight w:val="none"/>
        </w:rPr>
        <w:t>四、《财政拨款收入支出决算总表》</w:t>
      </w:r>
      <w:bookmarkEnd w:id="47"/>
      <w:bookmarkEnd w:id="48"/>
    </w:p>
    <w:p w14:paraId="4CAD590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仿宋_GB2312"/>
          <w:bCs/>
          <w:kern w:val="0"/>
          <w:sz w:val="32"/>
          <w:szCs w:val="32"/>
          <w:highlight w:val="none"/>
        </w:rPr>
      </w:pPr>
      <w:bookmarkStart w:id="49" w:name="_Toc16518"/>
      <w:bookmarkStart w:id="50" w:name="_Toc10347"/>
      <w:r>
        <w:rPr>
          <w:rFonts w:hint="eastAsia" w:ascii="Times New Roman" w:hAnsi="Times New Roman" w:eastAsia="仿宋_GB2312" w:cs="仿宋_GB2312"/>
          <w:bCs/>
          <w:kern w:val="0"/>
          <w:sz w:val="32"/>
          <w:szCs w:val="32"/>
          <w:highlight w:val="none"/>
        </w:rPr>
        <w:t>五、《一般公共预算财政拨款支出决算表》</w:t>
      </w:r>
      <w:bookmarkEnd w:id="49"/>
      <w:bookmarkEnd w:id="50"/>
    </w:p>
    <w:p w14:paraId="1D16E22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仿宋_GB2312"/>
          <w:bCs/>
          <w:kern w:val="0"/>
          <w:sz w:val="32"/>
          <w:szCs w:val="32"/>
          <w:highlight w:val="none"/>
        </w:rPr>
      </w:pPr>
      <w:bookmarkStart w:id="51" w:name="_Toc20514"/>
      <w:bookmarkStart w:id="52" w:name="_Toc5626"/>
      <w:r>
        <w:rPr>
          <w:rFonts w:hint="eastAsia" w:ascii="Times New Roman" w:hAnsi="Times New Roman" w:eastAsia="仿宋_GB2312" w:cs="仿宋_GB2312"/>
          <w:bCs/>
          <w:kern w:val="0"/>
          <w:sz w:val="32"/>
          <w:szCs w:val="32"/>
          <w:highlight w:val="none"/>
        </w:rPr>
        <w:t>六、《一般公共预算财政拨款基本支出决算表》</w:t>
      </w:r>
      <w:bookmarkEnd w:id="51"/>
      <w:bookmarkEnd w:id="52"/>
    </w:p>
    <w:p w14:paraId="7C6EAC6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仿宋_GB2312"/>
          <w:bCs/>
          <w:kern w:val="0"/>
          <w:sz w:val="32"/>
          <w:szCs w:val="32"/>
          <w:highlight w:val="none"/>
        </w:rPr>
      </w:pPr>
      <w:bookmarkStart w:id="53" w:name="_Toc5453"/>
      <w:bookmarkStart w:id="54" w:name="_Toc18055"/>
      <w:r>
        <w:rPr>
          <w:rFonts w:hint="eastAsia" w:ascii="Times New Roman" w:hAnsi="Times New Roman" w:eastAsia="仿宋_GB2312" w:cs="仿宋_GB2312"/>
          <w:bCs/>
          <w:kern w:val="0"/>
          <w:sz w:val="32"/>
          <w:szCs w:val="32"/>
          <w:highlight w:val="none"/>
        </w:rPr>
        <w:t>七、《政府性基金预算财政拨款收入支出决算表》</w:t>
      </w:r>
      <w:bookmarkEnd w:id="53"/>
      <w:bookmarkEnd w:id="54"/>
    </w:p>
    <w:p w14:paraId="0AD6022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仿宋_GB2312" w:cs="仿宋_GB2312"/>
          <w:bCs/>
          <w:kern w:val="0"/>
          <w:sz w:val="32"/>
          <w:szCs w:val="32"/>
          <w:highlight w:val="none"/>
        </w:rPr>
      </w:pPr>
      <w:bookmarkStart w:id="55" w:name="_Toc10719"/>
      <w:r>
        <w:rPr>
          <w:rFonts w:hint="eastAsia" w:ascii="Times New Roman" w:hAnsi="Times New Roman" w:eastAsia="仿宋_GB2312" w:cs="仿宋_GB2312"/>
          <w:bCs/>
          <w:kern w:val="0"/>
          <w:sz w:val="32"/>
          <w:szCs w:val="32"/>
          <w:highlight w:val="none"/>
        </w:rPr>
        <w:t>八、《</w:t>
      </w:r>
      <w:r>
        <w:rPr>
          <w:rFonts w:hint="eastAsia" w:ascii="Times New Roman" w:hAnsi="Times New Roman" w:eastAsia="仿宋_GB2312" w:cs="仿宋_GB2312"/>
          <w:bCs/>
          <w:kern w:val="0"/>
          <w:sz w:val="32"/>
          <w:szCs w:val="32"/>
          <w:highlight w:val="none"/>
          <w:lang w:eastAsia="zh-CN"/>
        </w:rPr>
        <w:t>国有资本经营</w:t>
      </w:r>
      <w:r>
        <w:rPr>
          <w:rFonts w:hint="eastAsia" w:ascii="Times New Roman" w:hAnsi="Times New Roman" w:eastAsia="仿宋_GB2312" w:cs="仿宋_GB2312"/>
          <w:bCs/>
          <w:kern w:val="0"/>
          <w:sz w:val="32"/>
          <w:szCs w:val="32"/>
          <w:highlight w:val="none"/>
        </w:rPr>
        <w:t>预算财政拨款收入支出决算表》</w:t>
      </w:r>
      <w:bookmarkEnd w:id="55"/>
    </w:p>
    <w:p w14:paraId="33B3A2E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Times New Roman" w:hAnsi="Times New Roman" w:eastAsia="黑体" w:cs="宋体"/>
          <w:bCs/>
          <w:kern w:val="0"/>
          <w:sz w:val="32"/>
          <w:szCs w:val="32"/>
          <w:highlight w:val="none"/>
          <w:lang w:eastAsia="zh-CN"/>
        </w:rPr>
      </w:pPr>
      <w:bookmarkStart w:id="56" w:name="_Toc18861"/>
      <w:bookmarkStart w:id="57" w:name="_Toc29106"/>
      <w:bookmarkStart w:id="58" w:name="_Toc32663"/>
      <w:r>
        <w:rPr>
          <w:rFonts w:hint="eastAsia" w:ascii="Times New Roman" w:hAnsi="Times New Roman" w:eastAsia="仿宋_GB2312" w:cs="仿宋_GB2312"/>
          <w:bCs/>
          <w:kern w:val="0"/>
          <w:sz w:val="32"/>
          <w:szCs w:val="32"/>
          <w:highlight w:val="none"/>
          <w:lang w:val="en-US" w:eastAsia="zh-CN"/>
        </w:rPr>
        <w:t>九</w:t>
      </w:r>
      <w:r>
        <w:rPr>
          <w:rFonts w:hint="eastAsia" w:ascii="Times New Roman" w:hAnsi="Times New Roman" w:eastAsia="仿宋_GB2312" w:cs="仿宋_GB2312"/>
          <w:bCs/>
          <w:kern w:val="0"/>
          <w:sz w:val="32"/>
          <w:szCs w:val="32"/>
          <w:highlight w:val="none"/>
        </w:rPr>
        <w:t>、《财政拨款“三公”经费支出决算表》</w:t>
      </w:r>
      <w:bookmarkEnd w:id="56"/>
      <w:bookmarkEnd w:id="57"/>
      <w:bookmarkEnd w:id="58"/>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BF1154-533C-4A52-BC27-8A08DF34E97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B6DBCA34-A003-4E99-BF73-7C520A81D3E9}"/>
  </w:font>
  <w:font w:name="仿宋_GB2312">
    <w:panose1 w:val="02010609030101010101"/>
    <w:charset w:val="86"/>
    <w:family w:val="modern"/>
    <w:pitch w:val="default"/>
    <w:sig w:usb0="00000001" w:usb1="080E0000" w:usb2="00000000" w:usb3="00000000" w:csb0="00040000" w:csb1="00000000"/>
    <w:embedRegular r:id="rId3" w:fontKey="{D7CB4A6A-3E5C-441F-87B4-CB095CFC2E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A8F6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4CC07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44CC07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2A48F5"/>
    <w:rsid w:val="02F73D26"/>
    <w:rsid w:val="034D4FEF"/>
    <w:rsid w:val="03DE0026"/>
    <w:rsid w:val="043E5B56"/>
    <w:rsid w:val="06792773"/>
    <w:rsid w:val="09A729D8"/>
    <w:rsid w:val="0A7B4867"/>
    <w:rsid w:val="0AC260D6"/>
    <w:rsid w:val="0B8C3ECC"/>
    <w:rsid w:val="0C3613A3"/>
    <w:rsid w:val="0C7227A7"/>
    <w:rsid w:val="0DCA6EF7"/>
    <w:rsid w:val="0E4B1576"/>
    <w:rsid w:val="11E15093"/>
    <w:rsid w:val="120E0809"/>
    <w:rsid w:val="1875698D"/>
    <w:rsid w:val="19071D6C"/>
    <w:rsid w:val="1B3726EA"/>
    <w:rsid w:val="1C317E4F"/>
    <w:rsid w:val="1C472464"/>
    <w:rsid w:val="1DAF458D"/>
    <w:rsid w:val="1E086ACE"/>
    <w:rsid w:val="1EAA4A5F"/>
    <w:rsid w:val="1F040613"/>
    <w:rsid w:val="1F587A0B"/>
    <w:rsid w:val="2064678E"/>
    <w:rsid w:val="20DD6197"/>
    <w:rsid w:val="21F317F2"/>
    <w:rsid w:val="222E47BD"/>
    <w:rsid w:val="2241392C"/>
    <w:rsid w:val="23141E45"/>
    <w:rsid w:val="23BC04D2"/>
    <w:rsid w:val="25275618"/>
    <w:rsid w:val="27CF2642"/>
    <w:rsid w:val="282459E2"/>
    <w:rsid w:val="2A053397"/>
    <w:rsid w:val="2A444FB1"/>
    <w:rsid w:val="2A6064E2"/>
    <w:rsid w:val="2BA9200B"/>
    <w:rsid w:val="2D1136DF"/>
    <w:rsid w:val="2DAE0E44"/>
    <w:rsid w:val="2FD27414"/>
    <w:rsid w:val="313F1D52"/>
    <w:rsid w:val="318029AB"/>
    <w:rsid w:val="31C63837"/>
    <w:rsid w:val="326F0A17"/>
    <w:rsid w:val="346168D4"/>
    <w:rsid w:val="34623382"/>
    <w:rsid w:val="3914510A"/>
    <w:rsid w:val="3B1220C9"/>
    <w:rsid w:val="3D5275AC"/>
    <w:rsid w:val="3EA7725F"/>
    <w:rsid w:val="40834692"/>
    <w:rsid w:val="423A32B2"/>
    <w:rsid w:val="45CC3B46"/>
    <w:rsid w:val="464B7E04"/>
    <w:rsid w:val="46901EEE"/>
    <w:rsid w:val="469C74D2"/>
    <w:rsid w:val="47445515"/>
    <w:rsid w:val="48E21116"/>
    <w:rsid w:val="49C97D5C"/>
    <w:rsid w:val="4AE426AE"/>
    <w:rsid w:val="4B4C0111"/>
    <w:rsid w:val="4B7C61E8"/>
    <w:rsid w:val="4CB329B8"/>
    <w:rsid w:val="4D730311"/>
    <w:rsid w:val="505A358E"/>
    <w:rsid w:val="50DB5F45"/>
    <w:rsid w:val="52F92565"/>
    <w:rsid w:val="55DA564E"/>
    <w:rsid w:val="56E07045"/>
    <w:rsid w:val="56E9427F"/>
    <w:rsid w:val="57C43448"/>
    <w:rsid w:val="583059FA"/>
    <w:rsid w:val="587E6212"/>
    <w:rsid w:val="58D10A34"/>
    <w:rsid w:val="59973ABF"/>
    <w:rsid w:val="59DE3233"/>
    <w:rsid w:val="5A2B53AA"/>
    <w:rsid w:val="5A74678C"/>
    <w:rsid w:val="5AFC6609"/>
    <w:rsid w:val="5CE22042"/>
    <w:rsid w:val="5FA17648"/>
    <w:rsid w:val="613409CB"/>
    <w:rsid w:val="61A46A97"/>
    <w:rsid w:val="61A570C7"/>
    <w:rsid w:val="62DD7D21"/>
    <w:rsid w:val="65D97752"/>
    <w:rsid w:val="664C500C"/>
    <w:rsid w:val="6773145F"/>
    <w:rsid w:val="68DB0208"/>
    <w:rsid w:val="69846A0E"/>
    <w:rsid w:val="69AD798C"/>
    <w:rsid w:val="6B68175F"/>
    <w:rsid w:val="6B8B5C99"/>
    <w:rsid w:val="6E0F7A08"/>
    <w:rsid w:val="6E801ABC"/>
    <w:rsid w:val="71473612"/>
    <w:rsid w:val="718F7F65"/>
    <w:rsid w:val="73423603"/>
    <w:rsid w:val="73DE4104"/>
    <w:rsid w:val="73FB6630"/>
    <w:rsid w:val="74CE04EC"/>
    <w:rsid w:val="74E76DCD"/>
    <w:rsid w:val="75BC49DF"/>
    <w:rsid w:val="76660D7C"/>
    <w:rsid w:val="76CF72D3"/>
    <w:rsid w:val="77ED6F44"/>
    <w:rsid w:val="78B87A58"/>
    <w:rsid w:val="795A0A34"/>
    <w:rsid w:val="79FB30B5"/>
    <w:rsid w:val="7A0D3BC7"/>
    <w:rsid w:val="7A3A3CDB"/>
    <w:rsid w:val="7EAC4F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customStyle="1" w:styleId="10">
    <w:name w:val="WPSOffice手动目录 3"/>
    <w:qFormat/>
    <w:uiPriority w:val="0"/>
    <w:pPr>
      <w:ind w:leftChars="40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4925</Words>
  <Characters>5435</Characters>
  <Lines>0</Lines>
  <Paragraphs>0</Paragraphs>
  <TotalTime>90</TotalTime>
  <ScaleCrop>false</ScaleCrop>
  <LinksUpToDate>false</LinksUpToDate>
  <CharactersWithSpaces>5445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cp:lastModifiedBy>
  <cp:lastPrinted>2024-07-22T11:58:00Z</cp:lastPrinted>
  <dcterms:modified xsi:type="dcterms:W3CDTF">2025-08-27T04:35:37Z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AD239E74017D40D6BC69B47A6BB41E25_13</vt:lpwstr>
  </property>
  <property fmtid="{D5CDD505-2E9C-101B-9397-08002B2CF9AE}" pid="4" name="KSOTemplateDocerSaveRecord">
    <vt:lpwstr>eyJoZGlkIjoiMWEwMzJhNzU1ZDBkN2Y0OWYxMGMxOGY0MmNhNDk1MjUiLCJ1c2VySWQiOiI2NDk5MDUzNTgifQ==</vt:lpwstr>
  </property>
</Properties>
</file>