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7E5FB">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黑体"/>
          <w:sz w:val="32"/>
          <w:szCs w:val="32"/>
          <w:highlight w:val="none"/>
          <w:lang w:val="en-US" w:eastAsia="zh-CN"/>
        </w:rPr>
      </w:pPr>
    </w:p>
    <w:p w14:paraId="120B835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p>
    <w:p w14:paraId="0062DB3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p>
    <w:p w14:paraId="4282F5B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p>
    <w:p w14:paraId="3F8AF88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p>
    <w:p w14:paraId="446E9CC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rPr>
        <w:t>新疆维吾尔自治区商务信息中心</w:t>
      </w:r>
    </w:p>
    <w:p w14:paraId="519792A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lang w:eastAsia="zh-CN"/>
        </w:rPr>
        <w:t>20</w:t>
      </w:r>
      <w:r>
        <w:rPr>
          <w:rFonts w:hint="eastAsia" w:ascii="Times New Roman" w:hAnsi="Times New Roman" w:eastAsia="方正小标宋_GBK"/>
          <w:sz w:val="44"/>
          <w:szCs w:val="44"/>
          <w:highlight w:val="none"/>
          <w:lang w:val="en-US" w:eastAsia="zh-CN"/>
        </w:rPr>
        <w:t>2</w:t>
      </w:r>
      <w:r>
        <w:rPr>
          <w:rFonts w:hint="eastAsia" w:ascii="Times New Roman" w:hAnsi="Times New Roman" w:eastAsia="方正小标宋_GBK"/>
          <w:sz w:val="44"/>
          <w:szCs w:val="44"/>
          <w:highlight w:val="none"/>
          <w:lang w:eastAsia="zh-CN"/>
        </w:rPr>
        <w:t>4年度</w:t>
      </w:r>
      <w:r>
        <w:rPr>
          <w:rFonts w:hint="eastAsia" w:ascii="Times New Roman" w:hAnsi="Times New Roman"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_GB2312" w:cs="仿宋_GB2312"/>
          <w:b w:val="0"/>
          <w:bCs/>
          <w:kern w:val="0"/>
          <w:sz w:val="32"/>
          <w:szCs w:val="32"/>
          <w:highlight w:val="none"/>
        </w:rPr>
      </w:pPr>
      <w:r>
        <w:rPr>
          <w:rFonts w:hint="eastAsia" w:ascii="Times New Roman" w:hAnsi="Times New Roman" w:eastAsia="方正小标宋_GBK"/>
          <w:sz w:val="44"/>
          <w:szCs w:val="44"/>
          <w:highlight w:val="none"/>
        </w:rPr>
        <w:br w:type="page"/>
      </w:r>
      <w:r>
        <w:rPr>
          <w:rFonts w:hint="eastAsia" w:ascii="Times New Roman" w:hAnsi="Times New Roman"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TOC \o "1-3" \n  \h \u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
          <w:bCs/>
          <w:sz w:val="32"/>
          <w:szCs w:val="32"/>
          <w:highlight w:val="none"/>
        </w:rPr>
        <w:fldChar w:fldCharType="begin"/>
      </w:r>
      <w:r>
        <w:rPr>
          <w:rFonts w:hint="eastAsia" w:ascii="Times New Roman" w:hAnsi="Times New Roman" w:eastAsia="仿宋_GB2312" w:cs="仿宋_GB2312"/>
          <w:b/>
          <w:bCs/>
          <w:sz w:val="32"/>
          <w:szCs w:val="32"/>
          <w:highlight w:val="none"/>
        </w:rPr>
        <w:instrText xml:space="preserve"> HYPERLINK \l _Toc31918 </w:instrText>
      </w:r>
      <w:r>
        <w:rPr>
          <w:rFonts w:hint="eastAsia" w:ascii="Times New Roman" w:hAnsi="Times New Roman" w:eastAsia="仿宋_GB2312" w:cs="仿宋_GB2312"/>
          <w:b/>
          <w:bCs/>
          <w:sz w:val="32"/>
          <w:szCs w:val="32"/>
          <w:highlight w:val="none"/>
        </w:rPr>
        <w:fldChar w:fldCharType="separate"/>
      </w:r>
      <w:r>
        <w:rPr>
          <w:rFonts w:hint="eastAsia" w:ascii="Times New Roman" w:hAnsi="Times New Roman" w:eastAsia="仿宋_GB2312" w:cs="仿宋_GB2312"/>
          <w:b/>
          <w:bCs/>
          <w:sz w:val="32"/>
          <w:szCs w:val="32"/>
          <w:highlight w:val="none"/>
        </w:rPr>
        <w:t>第一部分 单位概况</w:t>
      </w:r>
      <w:r>
        <w:rPr>
          <w:rFonts w:hint="eastAsia" w:ascii="Times New Roman" w:hAnsi="Times New Roman"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_Toc2898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一、主要职能</w:t>
      </w:r>
      <w:r>
        <w:rPr>
          <w:rFonts w:hint="eastAsia" w:ascii="Times New Roman" w:hAnsi="Times New Roman"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_Toc1387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二、机构设置</w:t>
      </w:r>
      <w:r>
        <w:rPr>
          <w:rFonts w:hint="eastAsia" w:ascii="Times New Roman" w:hAnsi="Times New Roman" w:eastAsia="仿宋_GB2312" w:cs="仿宋_GB2312"/>
          <w:bCs/>
          <w:kern w:val="0"/>
          <w:sz w:val="32"/>
          <w:szCs w:val="32"/>
          <w:highlight w:val="none"/>
          <w:lang w:eastAsia="zh-CN"/>
        </w:rPr>
        <w:t>及人员</w:t>
      </w:r>
      <w:r>
        <w:rPr>
          <w:rFonts w:hint="eastAsia" w:ascii="Times New Roman" w:hAnsi="Times New Roman" w:eastAsia="仿宋_GB2312" w:cs="仿宋_GB2312"/>
          <w:bCs/>
          <w:kern w:val="0"/>
          <w:sz w:val="32"/>
          <w:szCs w:val="32"/>
          <w:highlight w:val="none"/>
        </w:rPr>
        <w:t>情况</w:t>
      </w:r>
      <w:r>
        <w:rPr>
          <w:rFonts w:hint="eastAsia" w:ascii="Times New Roman" w:hAnsi="Times New Roman"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fldChar w:fldCharType="begin"/>
      </w:r>
      <w:r>
        <w:rPr>
          <w:rFonts w:hint="eastAsia" w:ascii="Times New Roman" w:hAnsi="Times New Roman" w:eastAsia="仿宋_GB2312" w:cs="仿宋_GB2312"/>
          <w:b/>
          <w:bCs/>
          <w:sz w:val="32"/>
          <w:szCs w:val="32"/>
          <w:highlight w:val="none"/>
        </w:rPr>
        <w:instrText xml:space="preserve"> HYPERLINK \l _Toc7559 </w:instrText>
      </w:r>
      <w:r>
        <w:rPr>
          <w:rFonts w:hint="eastAsia" w:ascii="Times New Roman" w:hAnsi="Times New Roman" w:eastAsia="仿宋_GB2312" w:cs="仿宋_GB2312"/>
          <w:b/>
          <w:bCs/>
          <w:sz w:val="32"/>
          <w:szCs w:val="32"/>
          <w:highlight w:val="none"/>
        </w:rPr>
        <w:fldChar w:fldCharType="separate"/>
      </w:r>
      <w:r>
        <w:rPr>
          <w:rFonts w:hint="eastAsia" w:ascii="Times New Roman" w:hAnsi="Times New Roman" w:eastAsia="仿宋_GB2312" w:cs="仿宋_GB2312"/>
          <w:b/>
          <w:bCs/>
          <w:sz w:val="32"/>
          <w:szCs w:val="32"/>
          <w:highlight w:val="none"/>
        </w:rPr>
        <w:t>第</w:t>
      </w:r>
      <w:r>
        <w:rPr>
          <w:rFonts w:hint="eastAsia" w:ascii="Times New Roman" w:hAnsi="Times New Roman" w:eastAsia="仿宋_GB2312" w:cs="仿宋_GB2312"/>
          <w:b/>
          <w:bCs/>
          <w:sz w:val="32"/>
          <w:szCs w:val="32"/>
          <w:highlight w:val="none"/>
          <w:lang w:val="en-US" w:eastAsia="zh-CN"/>
        </w:rPr>
        <w:t>二</w:t>
      </w:r>
      <w:r>
        <w:rPr>
          <w:rFonts w:hint="eastAsia" w:ascii="Times New Roman" w:hAnsi="Times New Roman" w:eastAsia="仿宋_GB2312" w:cs="仿宋_GB2312"/>
          <w:b/>
          <w:bCs/>
          <w:sz w:val="32"/>
          <w:szCs w:val="32"/>
          <w:highlight w:val="none"/>
        </w:rPr>
        <w:t>部分 部门决算情况说明</w:t>
      </w:r>
      <w:r>
        <w:rPr>
          <w:rFonts w:hint="eastAsia" w:ascii="Times New Roman" w:hAnsi="Times New Roman"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_Toc6321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一、收入支出决算总体情况说明</w:t>
      </w:r>
      <w:r>
        <w:rPr>
          <w:rFonts w:hint="eastAsia" w:ascii="Times New Roman" w:hAnsi="Times New Roman"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_Toc6311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二、</w:t>
      </w:r>
      <w:r>
        <w:rPr>
          <w:rFonts w:hint="eastAsia" w:ascii="Times New Roman" w:hAnsi="Times New Roman" w:eastAsia="仿宋_GB2312" w:cs="仿宋_GB2312"/>
          <w:bCs/>
          <w:kern w:val="0"/>
          <w:sz w:val="32"/>
          <w:szCs w:val="32"/>
          <w:highlight w:val="none"/>
        </w:rPr>
        <w:t>收入</w:t>
      </w:r>
      <w:r>
        <w:rPr>
          <w:rFonts w:hint="eastAsia" w:ascii="Times New Roman" w:hAnsi="Times New Roman" w:eastAsia="仿宋_GB2312" w:cs="仿宋_GB2312"/>
          <w:bCs/>
          <w:kern w:val="0"/>
          <w:sz w:val="32"/>
          <w:szCs w:val="32"/>
          <w:highlight w:val="none"/>
          <w:lang w:eastAsia="zh-CN"/>
        </w:rPr>
        <w:t>决算</w:t>
      </w:r>
      <w:r>
        <w:rPr>
          <w:rFonts w:hint="eastAsia" w:ascii="Times New Roman" w:hAnsi="Times New Roman" w:eastAsia="仿宋_GB2312" w:cs="仿宋_GB2312"/>
          <w:bCs/>
          <w:kern w:val="0"/>
          <w:sz w:val="32"/>
          <w:szCs w:val="32"/>
          <w:highlight w:val="none"/>
        </w:rPr>
        <w:t>情况说明</w:t>
      </w:r>
      <w:r>
        <w:rPr>
          <w:rFonts w:hint="eastAsia" w:ascii="Times New Roman" w:hAnsi="Times New Roman"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_Toc20629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三、支出决算情况说明</w:t>
      </w:r>
      <w:r>
        <w:rPr>
          <w:rFonts w:hint="eastAsia" w:ascii="Times New Roman" w:hAnsi="Times New Roman"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_Toc7371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四、财政拨款收入支出决算总体情况说明</w:t>
      </w:r>
      <w:r>
        <w:rPr>
          <w:rFonts w:hint="eastAsia" w:ascii="Times New Roman" w:hAnsi="Times New Roman"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_Toc18905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五、一般公共预算财政拨款支出决算情况说明</w:t>
      </w:r>
      <w:r>
        <w:rPr>
          <w:rFonts w:hint="eastAsia" w:ascii="Times New Roman" w:hAnsi="Times New Roman"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_Toc1165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（一）一般公共预算财政拨款支出决算总体情况</w:t>
      </w:r>
      <w:r>
        <w:rPr>
          <w:rFonts w:hint="eastAsia" w:ascii="Times New Roman" w:hAnsi="Times New Roman"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_Toc27147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（二）一般公共预算</w:t>
      </w:r>
      <w:r>
        <w:rPr>
          <w:rFonts w:hint="eastAsia" w:ascii="Times New Roman" w:hAnsi="Times New Roman" w:eastAsia="仿宋_GB2312" w:cs="仿宋_GB2312"/>
          <w:sz w:val="32"/>
          <w:szCs w:val="32"/>
          <w:highlight w:val="none"/>
          <w:lang w:val="en-US" w:eastAsia="zh-CN"/>
        </w:rPr>
        <w:t>财政拨款支出决算</w:t>
      </w:r>
      <w:r>
        <w:rPr>
          <w:rFonts w:hint="eastAsia" w:ascii="Times New Roman" w:hAnsi="Times New Roman" w:eastAsia="仿宋_GB2312" w:cs="仿宋_GB2312"/>
          <w:sz w:val="32"/>
          <w:szCs w:val="32"/>
          <w:highlight w:val="none"/>
          <w:lang w:eastAsia="zh-CN"/>
        </w:rPr>
        <w:t>结构情况</w:t>
      </w:r>
      <w:r>
        <w:rPr>
          <w:rFonts w:hint="eastAsia" w:ascii="Times New Roman" w:hAnsi="Times New Roman"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val="0"/>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_Toc10037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（三）一般公共预算财政拨款支出决算具体情况</w:t>
      </w:r>
      <w:r>
        <w:rPr>
          <w:rFonts w:hint="eastAsia" w:ascii="Times New Roman" w:hAnsi="Times New Roman"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_Toc23415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六、一般公共预算财政拨款基本支出决算情况说明</w:t>
      </w:r>
      <w:r>
        <w:rPr>
          <w:rFonts w:hint="eastAsia" w:ascii="Times New Roman" w:hAnsi="Times New Roman"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_Toc7523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val="en-US" w:eastAsia="zh-CN"/>
        </w:rPr>
        <w:t>七、</w:t>
      </w:r>
      <w:r>
        <w:rPr>
          <w:rFonts w:hint="eastAsia" w:ascii="Times New Roman" w:hAnsi="Times New Roman" w:eastAsia="仿宋_GB2312" w:cs="仿宋_GB2312"/>
          <w:bCs/>
          <w:kern w:val="0"/>
          <w:sz w:val="32"/>
          <w:szCs w:val="32"/>
          <w:highlight w:val="none"/>
          <w:lang w:eastAsia="zh-CN"/>
        </w:rPr>
        <w:t>政府性基金预算财政拨款收入支出决算情况说明</w:t>
      </w:r>
      <w:r>
        <w:rPr>
          <w:rFonts w:hint="eastAsia" w:ascii="Times New Roman" w:hAnsi="Times New Roman"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_Toc5563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val="en-US" w:eastAsia="zh-CN"/>
        </w:rPr>
        <w:t>八</w:t>
      </w:r>
      <w:r>
        <w:rPr>
          <w:rFonts w:hint="eastAsia" w:ascii="Times New Roman" w:hAnsi="Times New Roman" w:eastAsia="仿宋_GB2312" w:cs="仿宋_GB2312"/>
          <w:bCs/>
          <w:kern w:val="0"/>
          <w:sz w:val="32"/>
          <w:szCs w:val="32"/>
          <w:highlight w:val="none"/>
          <w:lang w:eastAsia="zh-CN"/>
        </w:rPr>
        <w:t>、国有资本经营预算财政拨款收入支出决算情况说明</w:t>
      </w:r>
      <w:r>
        <w:rPr>
          <w:rFonts w:hint="eastAsia" w:ascii="Times New Roman" w:hAnsi="Times New Roman"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_Toc9161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val="en-US" w:eastAsia="zh-CN"/>
        </w:rPr>
        <w:t>九</w:t>
      </w:r>
      <w:r>
        <w:rPr>
          <w:rFonts w:hint="eastAsia" w:ascii="Times New Roman" w:hAnsi="Times New Roman" w:eastAsia="仿宋_GB2312" w:cs="仿宋_GB2312"/>
          <w:bCs/>
          <w:kern w:val="0"/>
          <w:sz w:val="32"/>
          <w:szCs w:val="32"/>
          <w:highlight w:val="none"/>
          <w:lang w:eastAsia="zh-CN"/>
        </w:rPr>
        <w:t>、财政拨款</w:t>
      </w:r>
      <w:r>
        <w:rPr>
          <w:rFonts w:hint="eastAsia" w:ascii="Times New Roman" w:hAnsi="Times New Roman" w:eastAsia="仿宋_GB2312" w:cs="仿宋_GB2312"/>
          <w:bCs/>
          <w:kern w:val="0"/>
          <w:sz w:val="32"/>
          <w:szCs w:val="32"/>
          <w:highlight w:val="none"/>
        </w:rPr>
        <w:t>“三公”经费支出</w:t>
      </w:r>
      <w:r>
        <w:rPr>
          <w:rFonts w:hint="eastAsia" w:ascii="Times New Roman" w:hAnsi="Times New Roman" w:eastAsia="仿宋_GB2312" w:cs="仿宋_GB2312"/>
          <w:bCs/>
          <w:kern w:val="0"/>
          <w:sz w:val="32"/>
          <w:szCs w:val="32"/>
          <w:highlight w:val="none"/>
          <w:lang w:eastAsia="zh-CN"/>
        </w:rPr>
        <w:t>决算</w:t>
      </w:r>
      <w:r>
        <w:rPr>
          <w:rFonts w:hint="eastAsia" w:ascii="Times New Roman" w:hAnsi="Times New Roman" w:eastAsia="仿宋_GB2312" w:cs="仿宋_GB2312"/>
          <w:bCs/>
          <w:kern w:val="0"/>
          <w:sz w:val="32"/>
          <w:szCs w:val="32"/>
          <w:highlight w:val="none"/>
        </w:rPr>
        <w:t>情况</w:t>
      </w:r>
      <w:r>
        <w:rPr>
          <w:rFonts w:hint="eastAsia" w:ascii="Times New Roman" w:hAnsi="Times New Roman" w:eastAsia="仿宋_GB2312" w:cs="仿宋_GB2312"/>
          <w:bCs/>
          <w:kern w:val="0"/>
          <w:sz w:val="32"/>
          <w:szCs w:val="32"/>
          <w:highlight w:val="none"/>
          <w:lang w:eastAsia="zh-CN"/>
        </w:rPr>
        <w:t>说明</w:t>
      </w:r>
      <w:r>
        <w:rPr>
          <w:rFonts w:hint="eastAsia" w:ascii="Times New Roman" w:hAnsi="Times New Roman"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_Toc16395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十</w:t>
      </w:r>
      <w:r>
        <w:rPr>
          <w:rFonts w:hint="eastAsia" w:ascii="Times New Roman" w:hAnsi="Times New Roman" w:eastAsia="仿宋_GB2312" w:cs="仿宋_GB2312"/>
          <w:bCs/>
          <w:kern w:val="0"/>
          <w:sz w:val="32"/>
          <w:szCs w:val="32"/>
          <w:highlight w:val="none"/>
        </w:rPr>
        <w:t>、其他重要事项的情况</w:t>
      </w:r>
      <w:r>
        <w:rPr>
          <w:rFonts w:hint="eastAsia" w:ascii="Times New Roman" w:hAnsi="Times New Roman" w:eastAsia="仿宋_GB2312" w:cs="仿宋_GB2312"/>
          <w:bCs/>
          <w:kern w:val="0"/>
          <w:sz w:val="32"/>
          <w:szCs w:val="32"/>
          <w:highlight w:val="none"/>
          <w:lang w:eastAsia="zh-CN"/>
        </w:rPr>
        <w:t>说明</w:t>
      </w:r>
      <w:r>
        <w:rPr>
          <w:rFonts w:hint="eastAsia" w:ascii="Times New Roman" w:hAnsi="Times New Roman"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_Toc21748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（一）</w:t>
      </w:r>
      <w:r>
        <w:rPr>
          <w:rFonts w:hint="eastAsia" w:ascii="Times New Roman" w:hAnsi="Times New Roman" w:eastAsia="仿宋_GB2312" w:cs="仿宋_GB2312"/>
          <w:sz w:val="32"/>
          <w:szCs w:val="32"/>
          <w:highlight w:val="none"/>
        </w:rPr>
        <w:t>机关运行经费</w:t>
      </w:r>
      <w:r>
        <w:rPr>
          <w:rFonts w:hint="eastAsia" w:ascii="Times New Roman" w:hAnsi="Times New Roman" w:eastAsia="仿宋_GB2312" w:cs="仿宋_GB2312"/>
          <w:sz w:val="32"/>
          <w:szCs w:val="32"/>
          <w:highlight w:val="none"/>
          <w:lang w:val="en-US" w:eastAsia="zh-CN"/>
        </w:rPr>
        <w:t>及公用经费</w:t>
      </w:r>
      <w:r>
        <w:rPr>
          <w:rFonts w:hint="eastAsia" w:ascii="Times New Roman" w:hAnsi="Times New Roman" w:eastAsia="仿宋_GB2312" w:cs="仿宋_GB2312"/>
          <w:sz w:val="32"/>
          <w:szCs w:val="32"/>
          <w:highlight w:val="none"/>
        </w:rPr>
        <w:t>支出情况</w:t>
      </w:r>
      <w:r>
        <w:rPr>
          <w:rFonts w:hint="eastAsia" w:ascii="Times New Roman" w:hAnsi="Times New Roman"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_Toc25177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（二）政府采购情况</w:t>
      </w:r>
      <w:r>
        <w:rPr>
          <w:rFonts w:hint="eastAsia" w:ascii="Times New Roman" w:hAnsi="Times New Roman"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_Toc31294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（三）国有资产占用情况说明</w:t>
      </w:r>
      <w:r>
        <w:rPr>
          <w:rFonts w:hint="eastAsia" w:ascii="Times New Roman" w:hAnsi="Times New Roman"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_Toc17664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十</w:t>
      </w:r>
      <w:r>
        <w:rPr>
          <w:rFonts w:hint="eastAsia" w:ascii="Times New Roman" w:hAnsi="Times New Roman" w:eastAsia="仿宋_GB2312" w:cs="仿宋_GB2312"/>
          <w:bCs/>
          <w:kern w:val="0"/>
          <w:sz w:val="32"/>
          <w:szCs w:val="32"/>
          <w:highlight w:val="none"/>
          <w:lang w:val="en-US" w:eastAsia="zh-CN"/>
        </w:rPr>
        <w:t>一</w:t>
      </w:r>
      <w:r>
        <w:rPr>
          <w:rFonts w:hint="eastAsia" w:ascii="Times New Roman" w:hAnsi="Times New Roman" w:eastAsia="仿宋_GB2312" w:cs="仿宋_GB2312"/>
          <w:bCs/>
          <w:kern w:val="0"/>
          <w:sz w:val="32"/>
          <w:szCs w:val="32"/>
          <w:highlight w:val="none"/>
          <w:lang w:eastAsia="zh-CN"/>
        </w:rPr>
        <w:t>、预算绩效的情况说明</w:t>
      </w:r>
      <w:r>
        <w:rPr>
          <w:rFonts w:hint="eastAsia" w:ascii="Times New Roman" w:hAnsi="Times New Roman" w:eastAsia="仿宋_GB2312" w:cs="仿宋_GB2312"/>
          <w:sz w:val="32"/>
          <w:szCs w:val="32"/>
          <w:highlight w:val="none"/>
        </w:rPr>
        <w:fldChar w:fldCharType="end"/>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fldChar w:fldCharType="begin"/>
      </w:r>
      <w:r>
        <w:rPr>
          <w:rFonts w:hint="eastAsia" w:ascii="Times New Roman" w:hAnsi="Times New Roman" w:eastAsia="仿宋_GB2312" w:cs="仿宋_GB2312"/>
          <w:b/>
          <w:bCs/>
          <w:sz w:val="32"/>
          <w:szCs w:val="32"/>
          <w:highlight w:val="none"/>
        </w:rPr>
        <w:instrText xml:space="preserve"> HYPERLINK \l _Toc30038 </w:instrText>
      </w:r>
      <w:r>
        <w:rPr>
          <w:rFonts w:hint="eastAsia" w:ascii="Times New Roman" w:hAnsi="Times New Roman" w:eastAsia="仿宋_GB2312" w:cs="仿宋_GB2312"/>
          <w:b/>
          <w:bCs/>
          <w:sz w:val="32"/>
          <w:szCs w:val="32"/>
          <w:highlight w:val="none"/>
        </w:rPr>
        <w:fldChar w:fldCharType="separate"/>
      </w:r>
      <w:r>
        <w:rPr>
          <w:rFonts w:hint="eastAsia" w:ascii="Times New Roman" w:hAnsi="Times New Roman" w:eastAsia="仿宋_GB2312" w:cs="仿宋_GB2312"/>
          <w:b/>
          <w:bCs/>
          <w:sz w:val="32"/>
          <w:szCs w:val="32"/>
          <w:highlight w:val="none"/>
        </w:rPr>
        <w:t>第</w:t>
      </w:r>
      <w:r>
        <w:rPr>
          <w:rFonts w:hint="eastAsia" w:ascii="Times New Roman" w:hAnsi="Times New Roman" w:eastAsia="仿宋_GB2312" w:cs="仿宋_GB2312"/>
          <w:b/>
          <w:bCs/>
          <w:sz w:val="32"/>
          <w:szCs w:val="32"/>
          <w:highlight w:val="none"/>
          <w:lang w:val="en-US" w:eastAsia="zh-CN"/>
        </w:rPr>
        <w:t>三</w:t>
      </w:r>
      <w:r>
        <w:rPr>
          <w:rFonts w:hint="eastAsia" w:ascii="Times New Roman" w:hAnsi="Times New Roman" w:eastAsia="仿宋_GB2312" w:cs="仿宋_GB2312"/>
          <w:b/>
          <w:bCs/>
          <w:sz w:val="32"/>
          <w:szCs w:val="32"/>
          <w:highlight w:val="none"/>
        </w:rPr>
        <w:t>部分 专业名词解释</w:t>
      </w:r>
      <w:r>
        <w:rPr>
          <w:rFonts w:hint="eastAsia" w:ascii="Times New Roman" w:hAnsi="Times New Roman"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fldChar w:fldCharType="begin"/>
      </w:r>
      <w:r>
        <w:rPr>
          <w:rFonts w:hint="eastAsia" w:ascii="Times New Roman" w:hAnsi="Times New Roman" w:eastAsia="仿宋_GB2312" w:cs="仿宋_GB2312"/>
          <w:b/>
          <w:bCs/>
          <w:sz w:val="32"/>
          <w:szCs w:val="32"/>
          <w:highlight w:val="none"/>
        </w:rPr>
        <w:instrText xml:space="preserve"> HYPERLINK \l _Toc6831 </w:instrText>
      </w:r>
      <w:r>
        <w:rPr>
          <w:rFonts w:hint="eastAsia" w:ascii="Times New Roman" w:hAnsi="Times New Roman" w:eastAsia="仿宋_GB2312" w:cs="仿宋_GB2312"/>
          <w:b/>
          <w:bCs/>
          <w:sz w:val="32"/>
          <w:szCs w:val="32"/>
          <w:highlight w:val="none"/>
        </w:rPr>
        <w:fldChar w:fldCharType="separate"/>
      </w:r>
      <w:r>
        <w:rPr>
          <w:rFonts w:hint="eastAsia" w:ascii="Times New Roman" w:hAnsi="Times New Roman" w:eastAsia="仿宋_GB2312" w:cs="仿宋_GB2312"/>
          <w:b/>
          <w:bCs/>
          <w:sz w:val="32"/>
          <w:szCs w:val="32"/>
          <w:highlight w:val="none"/>
        </w:rPr>
        <w:t>第四部分 部门决算报表（见附表）</w:t>
      </w:r>
      <w:r>
        <w:rPr>
          <w:rFonts w:hint="eastAsia" w:ascii="Times New Roman" w:hAnsi="Times New Roman"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_Toc3845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一、《收入支出决算总表》</w:t>
      </w:r>
      <w:r>
        <w:rPr>
          <w:rFonts w:hint="eastAsia" w:ascii="Times New Roman" w:hAnsi="Times New Roman"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_Toc11927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二、《收入决算表》</w:t>
      </w:r>
      <w:r>
        <w:rPr>
          <w:rFonts w:hint="eastAsia" w:ascii="Times New Roman" w:hAnsi="Times New Roman"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_Toc7443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三、《支出决算表》</w:t>
      </w:r>
      <w:r>
        <w:rPr>
          <w:rFonts w:hint="eastAsia" w:ascii="Times New Roman" w:hAnsi="Times New Roman"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_Toc24884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四、《财政拨款收入支出决算总表》</w:t>
      </w:r>
      <w:r>
        <w:rPr>
          <w:rFonts w:hint="eastAsia" w:ascii="Times New Roman" w:hAnsi="Times New Roman"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_Toc16518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五、《一般公共预算财政拨款支出决算表》</w:t>
      </w:r>
      <w:r>
        <w:rPr>
          <w:rFonts w:hint="eastAsia" w:ascii="Times New Roman" w:hAnsi="Times New Roman"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_Toc20514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六、《一般公共预算财政拨款基本支出决算表》</w:t>
      </w:r>
      <w:r>
        <w:rPr>
          <w:rFonts w:hint="eastAsia" w:ascii="Times New Roman" w:hAnsi="Times New Roman"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_Toc18055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七、《政府性基金预算财政拨款收入支出决算表》</w:t>
      </w:r>
      <w:r>
        <w:rPr>
          <w:rFonts w:hint="eastAsia" w:ascii="Times New Roman" w:hAnsi="Times New Roman"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_Toc10719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八、《</w:t>
      </w:r>
      <w:r>
        <w:rPr>
          <w:rFonts w:hint="eastAsia" w:ascii="Times New Roman" w:hAnsi="Times New Roman" w:eastAsia="仿宋_GB2312" w:cs="仿宋_GB2312"/>
          <w:bCs/>
          <w:kern w:val="0"/>
          <w:sz w:val="32"/>
          <w:szCs w:val="32"/>
          <w:highlight w:val="none"/>
          <w:lang w:eastAsia="zh-CN"/>
        </w:rPr>
        <w:t>国有资本经营</w:t>
      </w:r>
      <w:r>
        <w:rPr>
          <w:rFonts w:hint="eastAsia" w:ascii="Times New Roman" w:hAnsi="Times New Roman" w:eastAsia="仿宋_GB2312" w:cs="仿宋_GB2312"/>
          <w:bCs/>
          <w:kern w:val="0"/>
          <w:sz w:val="32"/>
          <w:szCs w:val="32"/>
          <w:highlight w:val="none"/>
        </w:rPr>
        <w:t>预算财政拨款收入支出决算表》</w:t>
      </w:r>
      <w:r>
        <w:rPr>
          <w:rFonts w:hint="eastAsia" w:ascii="Times New Roman" w:hAnsi="Times New Roman"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jc w:val="left"/>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_Toc18861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val="en-US" w:eastAsia="zh-CN"/>
        </w:rPr>
        <w:t>九</w:t>
      </w:r>
      <w:r>
        <w:rPr>
          <w:rFonts w:hint="eastAsia" w:ascii="Times New Roman" w:hAnsi="Times New Roman" w:eastAsia="仿宋_GB2312" w:cs="仿宋_GB2312"/>
          <w:bCs/>
          <w:kern w:val="0"/>
          <w:sz w:val="32"/>
          <w:szCs w:val="32"/>
          <w:highlight w:val="none"/>
        </w:rPr>
        <w:t>、《财政拨款“三公”经费支出决算表》</w:t>
      </w:r>
      <w:r>
        <w:rPr>
          <w:rFonts w:hint="eastAsia" w:ascii="Times New Roman" w:hAnsi="Times New Roman" w:eastAsia="仿宋_GB2312" w:cs="仿宋_GB2312"/>
          <w:sz w:val="32"/>
          <w:szCs w:val="32"/>
          <w:highlight w:val="none"/>
        </w:rPr>
        <w:fldChar w:fldCharType="end"/>
      </w:r>
    </w:p>
    <w:p w14:paraId="24A86F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黑体"/>
          <w:sz w:val="32"/>
          <w:szCs w:val="32"/>
          <w:highlight w:val="none"/>
        </w:rPr>
      </w:pP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sz w:val="32"/>
          <w:szCs w:val="32"/>
          <w:highlight w:val="none"/>
        </w:rPr>
        <w:br w:type="page"/>
      </w:r>
      <w:bookmarkStart w:id="0" w:name="_Toc31918"/>
      <w:bookmarkStart w:id="1" w:name="_Toc24028"/>
      <w:r>
        <w:rPr>
          <w:rFonts w:hint="eastAsia" w:ascii="Times New Roman" w:hAnsi="Times New Roman" w:eastAsia="黑体"/>
          <w:sz w:val="32"/>
          <w:szCs w:val="32"/>
          <w:highlight w:val="none"/>
        </w:rPr>
        <w:t>第一部分 单位概况</w:t>
      </w:r>
      <w:bookmarkEnd w:id="0"/>
      <w:bookmarkEnd w:id="1"/>
    </w:p>
    <w:p w14:paraId="6AA13C8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Times New Roman" w:hAnsi="Times New Roman" w:eastAsia="黑体" w:cs="宋体"/>
          <w:bCs/>
          <w:kern w:val="0"/>
          <w:sz w:val="32"/>
          <w:szCs w:val="32"/>
          <w:highlight w:val="none"/>
        </w:rPr>
      </w:pPr>
      <w:bookmarkStart w:id="2" w:name="_Toc2898"/>
      <w:bookmarkStart w:id="3" w:name="_Toc30738"/>
      <w:r>
        <w:rPr>
          <w:rFonts w:hint="eastAsia" w:ascii="Times New Roman" w:hAnsi="Times New Roman" w:eastAsia="黑体" w:cs="宋体"/>
          <w:bCs/>
          <w:kern w:val="0"/>
          <w:sz w:val="32"/>
          <w:szCs w:val="32"/>
          <w:highlight w:val="none"/>
        </w:rPr>
        <w:t>一、主要职能</w:t>
      </w:r>
      <w:bookmarkEnd w:id="2"/>
      <w:bookmarkEnd w:id="3"/>
    </w:p>
    <w:p w14:paraId="26A7FE0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Times New Roman" w:hAnsi="Times New Roman" w:eastAsia="仿宋_GB2312"/>
          <w:b w:val="0"/>
          <w:sz w:val="32"/>
          <w:szCs w:val="32"/>
        </w:rPr>
      </w:pPr>
      <w:bookmarkStart w:id="4" w:name="_Toc31238"/>
      <w:bookmarkStart w:id="5" w:name="_Toc1387"/>
      <w:r>
        <w:rPr>
          <w:rFonts w:ascii="Times New Roman" w:hAnsi="Times New Roman" w:eastAsia="仿宋_GB2312"/>
          <w:b w:val="0"/>
          <w:sz w:val="32"/>
          <w:szCs w:val="32"/>
        </w:rPr>
        <w:t>新疆维吾尔自治区商务信息中心承担自治区商务系统电子商务和信息化标准体系建设、电子商务公共服务平台建设与服务；承担市场运行和商品供求的监测与预警工作等。</w:t>
      </w:r>
    </w:p>
    <w:p w14:paraId="5945335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rPr>
      </w:pPr>
      <w:r>
        <w:rPr>
          <w:rFonts w:hint="eastAsia" w:ascii="Times New Roman" w:hAnsi="Times New Roman" w:eastAsia="黑体" w:cs="宋体"/>
          <w:bCs/>
          <w:kern w:val="0"/>
          <w:sz w:val="32"/>
          <w:szCs w:val="32"/>
          <w:highlight w:val="none"/>
        </w:rPr>
        <w:t>二、机构设置</w:t>
      </w:r>
      <w:r>
        <w:rPr>
          <w:rFonts w:hint="eastAsia" w:ascii="Times New Roman" w:hAnsi="Times New Roman" w:eastAsia="黑体" w:cs="宋体"/>
          <w:bCs/>
          <w:kern w:val="0"/>
          <w:sz w:val="32"/>
          <w:szCs w:val="32"/>
          <w:highlight w:val="none"/>
          <w:lang w:eastAsia="zh-CN"/>
        </w:rPr>
        <w:t>及</w:t>
      </w:r>
      <w:bookmarkEnd w:id="4"/>
      <w:r>
        <w:rPr>
          <w:rFonts w:hint="eastAsia" w:ascii="Times New Roman" w:hAnsi="Times New Roman" w:eastAsia="黑体" w:cs="宋体"/>
          <w:bCs/>
          <w:kern w:val="0"/>
          <w:sz w:val="32"/>
          <w:szCs w:val="32"/>
          <w:highlight w:val="none"/>
          <w:lang w:eastAsia="zh-CN"/>
        </w:rPr>
        <w:t>人员</w:t>
      </w:r>
      <w:r>
        <w:rPr>
          <w:rFonts w:hint="eastAsia" w:ascii="Times New Roman" w:hAnsi="Times New Roman" w:eastAsia="黑体" w:cs="宋体"/>
          <w:bCs/>
          <w:kern w:val="0"/>
          <w:sz w:val="32"/>
          <w:szCs w:val="32"/>
          <w:highlight w:val="none"/>
        </w:rPr>
        <w:t>情况</w:t>
      </w:r>
      <w:bookmarkEnd w:id="5"/>
    </w:p>
    <w:p w14:paraId="3822197B">
      <w:pPr>
        <w:widowControl/>
        <w:spacing w:before="0" w:beforeLines="0" w:beforeAutospacing="0" w:after="0" w:afterLines="0" w:afterAutospacing="0" w:line="240" w:lineRule="auto"/>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b w:val="0"/>
          <w:sz w:val="32"/>
          <w:szCs w:val="32"/>
        </w:rPr>
        <w:t>新疆维吾尔自治区商务信息中心2024年度，实有人数15人，其中：在职人员15人，较上年无变化；离休人员0人，较上年无变化；退休人员0人，较上年无变化</w:t>
      </w:r>
      <w:r>
        <w:rPr>
          <w:rFonts w:hint="eastAsia" w:ascii="Times New Roman" w:hAnsi="Times New Roman" w:eastAsia="仿宋_GB2312"/>
          <w:b w:val="0"/>
          <w:sz w:val="32"/>
          <w:szCs w:val="32"/>
          <w:lang w:eastAsia="zh-CN"/>
        </w:rPr>
        <w:t>。</w:t>
      </w:r>
    </w:p>
    <w:p w14:paraId="4EF2E0AC">
      <w:pPr>
        <w:widowControl/>
        <w:spacing w:before="0" w:beforeLines="0" w:beforeAutospacing="0" w:after="0" w:afterLines="0" w:afterAutospacing="0" w:line="240" w:lineRule="auto"/>
        <w:ind w:firstLine="640" w:firstLineChars="200"/>
        <w:jc w:val="both"/>
        <w:rPr>
          <w:rFonts w:ascii="Times New Roman" w:hAnsi="Times New Roman" w:eastAsia="仿宋_GB2312"/>
          <w:sz w:val="32"/>
          <w:szCs w:val="32"/>
        </w:rPr>
      </w:pPr>
      <w:r>
        <w:rPr>
          <w:rFonts w:ascii="Times New Roman" w:hAnsi="Times New Roman" w:eastAsia="仿宋_GB2312"/>
          <w:b w:val="0"/>
          <w:sz w:val="32"/>
          <w:szCs w:val="32"/>
        </w:rPr>
        <w:t>新疆维吾尔自治区商务信息中心无下属预算单位，下设3个科室，分别是：技术部、信息部和综合部。</w:t>
      </w:r>
    </w:p>
    <w:p w14:paraId="23A669DB">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Times New Roman" w:hAnsi="Times New Roman" w:eastAsia="仿宋_GB2312" w:cs="宋体"/>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14:paraId="7EADCB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sz w:val="32"/>
          <w:szCs w:val="32"/>
          <w:highlight w:val="none"/>
        </w:rPr>
      </w:pPr>
      <w:bookmarkStart w:id="6" w:name="_Toc7559"/>
      <w:bookmarkStart w:id="7" w:name="_Toc3092"/>
      <w:r>
        <w:rPr>
          <w:rFonts w:hint="eastAsia"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二</w:t>
      </w:r>
      <w:r>
        <w:rPr>
          <w:rFonts w:hint="eastAsia" w:ascii="Times New Roman" w:hAnsi="Times New Roman" w:eastAsia="黑体"/>
          <w:sz w:val="32"/>
          <w:szCs w:val="32"/>
          <w:highlight w:val="none"/>
        </w:rPr>
        <w:t>部分 部门决算情况说明</w:t>
      </w:r>
      <w:bookmarkEnd w:id="6"/>
      <w:bookmarkEnd w:id="7"/>
    </w:p>
    <w:p w14:paraId="7830DB4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rPr>
      </w:pPr>
      <w:bookmarkStart w:id="8" w:name="_Toc12566"/>
      <w:bookmarkStart w:id="9" w:name="_Toc6321"/>
      <w:r>
        <w:rPr>
          <w:rFonts w:hint="eastAsia" w:ascii="Times New Roman" w:hAnsi="Times New Roman" w:eastAsia="黑体" w:cs="宋体"/>
          <w:bCs/>
          <w:kern w:val="0"/>
          <w:sz w:val="32"/>
          <w:szCs w:val="32"/>
          <w:highlight w:val="none"/>
        </w:rPr>
        <w:t>一、收入支出决算总体情况说明</w:t>
      </w:r>
      <w:bookmarkEnd w:id="8"/>
      <w:bookmarkEnd w:id="9"/>
    </w:p>
    <w:p w14:paraId="4051686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pacing w:val="0"/>
          <w:sz w:val="32"/>
          <w:szCs w:val="32"/>
          <w:highlight w:val="none"/>
          <w:lang w:eastAsia="zh-CN"/>
        </w:rPr>
      </w:pPr>
      <w:r>
        <w:rPr>
          <w:rFonts w:hint="eastAsia" w:ascii="Times New Roman" w:hAnsi="Times New Roman" w:eastAsia="仿宋_GB2312" w:cs="仿宋_GB2312"/>
          <w:b w:val="0"/>
          <w:bCs w:val="0"/>
          <w:spacing w:val="0"/>
          <w:sz w:val="32"/>
          <w:szCs w:val="32"/>
          <w:highlight w:val="none"/>
          <w:lang w:eastAsia="zh-CN"/>
        </w:rPr>
        <w:t>2024年度收入总计293.13万元，其中：本年收入合计282.10万元，使用非财政拨款结余（含专用结余）0.00万元，年初结转和结余11.03万元。</w:t>
      </w:r>
    </w:p>
    <w:p w14:paraId="471ED6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pacing w:val="0"/>
          <w:sz w:val="32"/>
          <w:szCs w:val="32"/>
          <w:highlight w:val="none"/>
          <w:lang w:eastAsia="zh-CN"/>
        </w:rPr>
      </w:pPr>
      <w:r>
        <w:rPr>
          <w:rFonts w:hint="eastAsia" w:ascii="Times New Roman" w:hAnsi="Times New Roman" w:eastAsia="仿宋_GB2312" w:cs="仿宋_GB2312"/>
          <w:b w:val="0"/>
          <w:bCs w:val="0"/>
          <w:spacing w:val="0"/>
          <w:sz w:val="32"/>
          <w:szCs w:val="32"/>
          <w:highlight w:val="none"/>
          <w:lang w:eastAsia="zh-CN"/>
        </w:rPr>
        <w:t>2024年度支出总计293.13万元，其中：本年支出合计279.30万元，结余分配0.00万元，年末结转和结余13.83万元。</w:t>
      </w:r>
    </w:p>
    <w:p w14:paraId="6A2DF5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val="0"/>
          <w:bCs w:val="0"/>
          <w:spacing w:val="0"/>
          <w:sz w:val="32"/>
          <w:szCs w:val="32"/>
          <w:highlight w:val="none"/>
          <w:lang w:eastAsia="zh-CN"/>
        </w:rPr>
        <w:t>收入支出总体与上年相比，增加19.42万元，增长7.10%，主要原因是：一是人员岗位</w:t>
      </w:r>
      <w:r>
        <w:rPr>
          <w:rFonts w:hint="eastAsia" w:eastAsia="仿宋_GB2312" w:cs="仿宋_GB2312"/>
          <w:b w:val="0"/>
          <w:bCs w:val="0"/>
          <w:spacing w:val="0"/>
          <w:sz w:val="32"/>
          <w:szCs w:val="32"/>
          <w:highlight w:val="none"/>
          <w:lang w:eastAsia="zh-CN"/>
        </w:rPr>
        <w:t>等级</w:t>
      </w:r>
      <w:r>
        <w:rPr>
          <w:rFonts w:hint="eastAsia" w:ascii="Times New Roman" w:hAnsi="Times New Roman" w:eastAsia="仿宋_GB2312" w:cs="仿宋_GB2312"/>
          <w:b w:val="0"/>
          <w:bCs w:val="0"/>
          <w:spacing w:val="0"/>
          <w:sz w:val="32"/>
          <w:szCs w:val="32"/>
          <w:highlight w:val="none"/>
          <w:lang w:eastAsia="zh-CN"/>
        </w:rPr>
        <w:t>变动工资增加，二是按要求调增工资</w:t>
      </w:r>
      <w:r>
        <w:rPr>
          <w:rFonts w:hint="eastAsia" w:eastAsia="仿宋_GB2312" w:cs="仿宋_GB2312"/>
          <w:b w:val="0"/>
          <w:bCs w:val="0"/>
          <w:spacing w:val="0"/>
          <w:sz w:val="32"/>
          <w:szCs w:val="32"/>
          <w:highlight w:val="none"/>
          <w:lang w:eastAsia="zh-CN"/>
        </w:rPr>
        <w:t>及</w:t>
      </w:r>
      <w:r>
        <w:rPr>
          <w:rFonts w:hint="eastAsia" w:ascii="Times New Roman" w:hAnsi="Times New Roman" w:eastAsia="仿宋_GB2312" w:cs="仿宋_GB2312"/>
          <w:b w:val="0"/>
          <w:bCs w:val="0"/>
          <w:spacing w:val="0"/>
          <w:sz w:val="32"/>
          <w:szCs w:val="32"/>
          <w:highlight w:val="none"/>
          <w:lang w:eastAsia="zh-CN"/>
        </w:rPr>
        <w:t>年终绩效考核奖。</w:t>
      </w:r>
    </w:p>
    <w:p w14:paraId="4B54B43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rPr>
      </w:pPr>
      <w:bookmarkStart w:id="10" w:name="_Toc1979"/>
      <w:bookmarkStart w:id="11" w:name="_Toc6311"/>
      <w:r>
        <w:rPr>
          <w:rFonts w:hint="eastAsia" w:ascii="Times New Roman" w:hAnsi="Times New Roman" w:eastAsia="黑体" w:cs="宋体"/>
          <w:bCs/>
          <w:kern w:val="0"/>
          <w:sz w:val="32"/>
          <w:szCs w:val="32"/>
          <w:highlight w:val="none"/>
          <w:lang w:eastAsia="zh-CN"/>
        </w:rPr>
        <w:t>二、</w:t>
      </w:r>
      <w:r>
        <w:rPr>
          <w:rFonts w:hint="eastAsia" w:ascii="Times New Roman" w:hAnsi="Times New Roman" w:eastAsia="黑体" w:cs="宋体"/>
          <w:bCs/>
          <w:kern w:val="0"/>
          <w:sz w:val="32"/>
          <w:szCs w:val="32"/>
          <w:highlight w:val="none"/>
        </w:rPr>
        <w:t>收入</w:t>
      </w:r>
      <w:r>
        <w:rPr>
          <w:rFonts w:hint="eastAsia" w:ascii="Times New Roman" w:hAnsi="Times New Roman" w:eastAsia="黑体" w:cs="宋体"/>
          <w:bCs/>
          <w:kern w:val="0"/>
          <w:sz w:val="32"/>
          <w:szCs w:val="32"/>
          <w:highlight w:val="none"/>
          <w:lang w:eastAsia="zh-CN"/>
        </w:rPr>
        <w:t>决算</w:t>
      </w:r>
      <w:r>
        <w:rPr>
          <w:rFonts w:hint="eastAsia" w:ascii="Times New Roman" w:hAnsi="Times New Roman" w:eastAsia="黑体" w:cs="宋体"/>
          <w:bCs/>
          <w:kern w:val="0"/>
          <w:sz w:val="32"/>
          <w:szCs w:val="32"/>
          <w:highlight w:val="none"/>
        </w:rPr>
        <w:t>情况说明</w:t>
      </w:r>
      <w:bookmarkEnd w:id="10"/>
      <w:bookmarkEnd w:id="11"/>
    </w:p>
    <w:p w14:paraId="1EFD4A3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cs="仿宋_GB2312"/>
          <w:b w:val="0"/>
          <w:bCs w:val="0"/>
          <w:sz w:val="32"/>
          <w:szCs w:val="32"/>
          <w:highlight w:val="none"/>
        </w:rPr>
        <w:t>本年收入282.10万元，其中：财政拨款收入281.41万元,占99.76%；上级补助收入0.00万元,占0.00%；事业收入0.00万元，占0.00%；经营收入0.00万元,占0.00%；附属单位上缴收入0.00万元，占0.00%；其他收入0.69万元，占0.24%。</w:t>
      </w:r>
    </w:p>
    <w:p w14:paraId="6F76709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12" w:name="_Toc27961"/>
      <w:bookmarkStart w:id="13" w:name="_Toc20629"/>
      <w:r>
        <w:rPr>
          <w:rFonts w:hint="eastAsia" w:ascii="Times New Roman" w:hAnsi="Times New Roman" w:eastAsia="黑体" w:cs="宋体"/>
          <w:bCs/>
          <w:kern w:val="0"/>
          <w:sz w:val="32"/>
          <w:szCs w:val="32"/>
          <w:highlight w:val="none"/>
          <w:lang w:eastAsia="zh-CN"/>
        </w:rPr>
        <w:t>三、支出决算情况说明</w:t>
      </w:r>
      <w:bookmarkEnd w:id="12"/>
      <w:bookmarkEnd w:id="13"/>
    </w:p>
    <w:p w14:paraId="68B50B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b w:val="0"/>
          <w:bCs w:val="0"/>
          <w:sz w:val="32"/>
          <w:szCs w:val="32"/>
          <w:highlight w:val="none"/>
        </w:rPr>
        <w:t>本年支出279.30万元，其</w:t>
      </w:r>
      <w:r>
        <w:rPr>
          <w:rFonts w:hint="eastAsia" w:ascii="Times New Roman" w:hAnsi="Times New Roman" w:eastAsia="仿宋_GB2312"/>
          <w:b w:val="0"/>
          <w:bCs w:val="0"/>
          <w:sz w:val="32"/>
          <w:szCs w:val="32"/>
          <w:highlight w:val="none"/>
        </w:rPr>
        <w:t>中：基本支出259.30万元，占92.84%；项目支出20.00万元，占7.16%；上缴上级支出0.00万元，占0.00%；经营支出0.00万元，占0.00%；对附属单位补助支出0.00万元，占0.00%</w:t>
      </w:r>
      <w:r>
        <w:rPr>
          <w:rFonts w:hint="eastAsia" w:ascii="Times New Roman" w:hAnsi="Times New Roman" w:eastAsia="仿宋_GB2312"/>
          <w:sz w:val="32"/>
          <w:szCs w:val="32"/>
          <w:highlight w:val="none"/>
          <w:lang w:eastAsia="zh-CN"/>
        </w:rPr>
        <w:t>。</w:t>
      </w:r>
    </w:p>
    <w:p w14:paraId="6107172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14" w:name="_Toc4393"/>
      <w:bookmarkStart w:id="15" w:name="_Toc7371"/>
      <w:r>
        <w:rPr>
          <w:rFonts w:hint="eastAsia" w:ascii="Times New Roman" w:hAnsi="Times New Roman" w:eastAsia="黑体" w:cs="宋体"/>
          <w:bCs/>
          <w:kern w:val="0"/>
          <w:sz w:val="32"/>
          <w:szCs w:val="32"/>
          <w:highlight w:val="none"/>
          <w:lang w:eastAsia="zh-CN"/>
        </w:rPr>
        <w:t>四、财政拨款收入支出决算总体情况说明</w:t>
      </w:r>
      <w:bookmarkEnd w:id="14"/>
      <w:bookmarkEnd w:id="15"/>
    </w:p>
    <w:p w14:paraId="235CEF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b w:val="0"/>
          <w:bCs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2024年度财政拨款收入总计290.69万元，其中：年初财政拨款结转和结余9.27万元，本年财政拨款收入281.41万元。财政拨款支出总计290.69万元，其中：年末财政拨款结转和结余12.89万元，本年财政拨款支出277.80万元</w:t>
      </w:r>
      <w:r>
        <w:rPr>
          <w:rFonts w:hint="eastAsia" w:ascii="Times New Roman" w:hAnsi="Times New Roman" w:eastAsia="仿宋_GB2312"/>
          <w:b w:val="0"/>
          <w:bCs w:val="0"/>
          <w:sz w:val="32"/>
          <w:szCs w:val="32"/>
          <w:highlight w:val="none"/>
          <w:lang w:eastAsia="zh-CN"/>
        </w:rPr>
        <w:t>。</w:t>
      </w:r>
    </w:p>
    <w:p w14:paraId="058CEE6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eastAsia="zh-CN"/>
        </w:rPr>
        <w:t>财政拨款收入支出总体</w:t>
      </w:r>
      <w:r>
        <w:rPr>
          <w:rFonts w:hint="eastAsia" w:ascii="Times New Roman" w:hAnsi="Times New Roman" w:eastAsia="仿宋_GB2312"/>
          <w:b w:val="0"/>
          <w:bCs w:val="0"/>
          <w:sz w:val="32"/>
          <w:szCs w:val="32"/>
          <w:highlight w:val="none"/>
        </w:rPr>
        <w:t>与上年相比，增加18.37万元，增长6.75%，主要原因是：一是</w:t>
      </w:r>
      <w:r>
        <w:rPr>
          <w:rFonts w:hint="eastAsia" w:ascii="Times New Roman" w:hAnsi="Times New Roman" w:eastAsia="仿宋_GB2312" w:cs="仿宋_GB2312"/>
          <w:b w:val="0"/>
          <w:bCs w:val="0"/>
          <w:spacing w:val="0"/>
          <w:sz w:val="32"/>
          <w:szCs w:val="32"/>
          <w:highlight w:val="none"/>
          <w:lang w:eastAsia="zh-CN"/>
        </w:rPr>
        <w:t>人员岗位</w:t>
      </w:r>
      <w:r>
        <w:rPr>
          <w:rFonts w:hint="eastAsia" w:eastAsia="仿宋_GB2312" w:cs="仿宋_GB2312"/>
          <w:b w:val="0"/>
          <w:bCs w:val="0"/>
          <w:spacing w:val="0"/>
          <w:sz w:val="32"/>
          <w:szCs w:val="32"/>
          <w:highlight w:val="none"/>
          <w:lang w:eastAsia="zh-CN"/>
        </w:rPr>
        <w:t>等级</w:t>
      </w:r>
      <w:r>
        <w:rPr>
          <w:rFonts w:hint="eastAsia" w:ascii="Times New Roman" w:hAnsi="Times New Roman" w:eastAsia="仿宋_GB2312" w:cs="仿宋_GB2312"/>
          <w:b w:val="0"/>
          <w:bCs w:val="0"/>
          <w:spacing w:val="0"/>
          <w:sz w:val="32"/>
          <w:szCs w:val="32"/>
          <w:highlight w:val="none"/>
          <w:lang w:eastAsia="zh-CN"/>
        </w:rPr>
        <w:t>变动工资增加，二是按要求调增工资</w:t>
      </w:r>
      <w:r>
        <w:rPr>
          <w:rFonts w:hint="eastAsia" w:eastAsia="仿宋_GB2312" w:cs="仿宋_GB2312"/>
          <w:b w:val="0"/>
          <w:bCs w:val="0"/>
          <w:spacing w:val="0"/>
          <w:sz w:val="32"/>
          <w:szCs w:val="32"/>
          <w:highlight w:val="none"/>
          <w:lang w:eastAsia="zh-CN"/>
        </w:rPr>
        <w:t>及</w:t>
      </w:r>
      <w:r>
        <w:rPr>
          <w:rFonts w:hint="eastAsia" w:ascii="Times New Roman" w:hAnsi="Times New Roman" w:eastAsia="仿宋_GB2312" w:cs="仿宋_GB2312"/>
          <w:b w:val="0"/>
          <w:bCs w:val="0"/>
          <w:spacing w:val="0"/>
          <w:sz w:val="32"/>
          <w:szCs w:val="32"/>
          <w:highlight w:val="none"/>
          <w:lang w:eastAsia="zh-CN"/>
        </w:rPr>
        <w:t>年终绩效考核奖</w:t>
      </w:r>
      <w:r>
        <w:rPr>
          <w:rFonts w:hint="eastAsia" w:ascii="Times New Roman" w:hAnsi="Times New Roman" w:eastAsia="仿宋_GB2312"/>
          <w:b w:val="0"/>
          <w:bCs w:val="0"/>
          <w:sz w:val="32"/>
          <w:szCs w:val="32"/>
          <w:highlight w:val="none"/>
        </w:rPr>
        <w:t>。与年初预算相比，年初预算数260.19万元，决算数290.69万元，预决算差异率11.72%，主要原因是：按要求调增工资</w:t>
      </w:r>
      <w:r>
        <w:rPr>
          <w:rFonts w:hint="eastAsia" w:eastAsia="仿宋_GB2312"/>
          <w:b w:val="0"/>
          <w:bCs w:val="0"/>
          <w:sz w:val="32"/>
          <w:szCs w:val="32"/>
          <w:highlight w:val="none"/>
          <w:lang w:eastAsia="zh-CN"/>
        </w:rPr>
        <w:t>及</w:t>
      </w:r>
      <w:r>
        <w:rPr>
          <w:rFonts w:hint="eastAsia" w:ascii="Times New Roman" w:hAnsi="Times New Roman" w:eastAsia="仿宋_GB2312"/>
          <w:b w:val="0"/>
          <w:bCs w:val="0"/>
          <w:sz w:val="32"/>
          <w:szCs w:val="32"/>
          <w:highlight w:val="none"/>
        </w:rPr>
        <w:t>年终绩效考核奖。</w:t>
      </w:r>
    </w:p>
    <w:p w14:paraId="66B0F5E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16" w:name="_Toc13833"/>
      <w:bookmarkStart w:id="17" w:name="_Toc18905"/>
      <w:r>
        <w:rPr>
          <w:rFonts w:hint="eastAsia" w:ascii="Times New Roman" w:hAnsi="Times New Roman" w:eastAsia="黑体" w:cs="宋体"/>
          <w:bCs/>
          <w:kern w:val="0"/>
          <w:sz w:val="32"/>
          <w:szCs w:val="32"/>
          <w:highlight w:val="none"/>
          <w:lang w:eastAsia="zh-CN"/>
        </w:rPr>
        <w:t>五、一般公共预算财政拨款支出决算情况说明</w:t>
      </w:r>
      <w:bookmarkEnd w:id="16"/>
      <w:bookmarkEnd w:id="17"/>
    </w:p>
    <w:p w14:paraId="491196E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18" w:name="_Toc1165"/>
      <w:r>
        <w:rPr>
          <w:rFonts w:hint="eastAsia" w:ascii="Times New Roman" w:hAnsi="Times New Roman" w:eastAsia="黑体"/>
          <w:sz w:val="32"/>
          <w:szCs w:val="32"/>
          <w:highlight w:val="none"/>
          <w:lang w:eastAsia="zh-CN"/>
        </w:rPr>
        <w:t>（一）一般公共预算财政拨款支出决算总体情况</w:t>
      </w:r>
      <w:bookmarkEnd w:id="18"/>
    </w:p>
    <w:p w14:paraId="42F0DF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b w:val="0"/>
          <w:bCs w:val="0"/>
          <w:spacing w:val="0"/>
          <w:sz w:val="32"/>
          <w:szCs w:val="32"/>
          <w:highlight w:val="none"/>
        </w:rPr>
      </w:pPr>
      <w:r>
        <w:rPr>
          <w:rFonts w:hint="eastAsia" w:ascii="Times New Roman" w:hAnsi="Times New Roman" w:eastAsia="仿宋_GB2312"/>
          <w:b w:val="0"/>
          <w:bCs w:val="0"/>
          <w:spacing w:val="0"/>
          <w:sz w:val="32"/>
          <w:szCs w:val="32"/>
          <w:highlight w:val="none"/>
          <w:lang w:eastAsia="zh-CN"/>
        </w:rPr>
        <w:t>2024年度一般公共预算财政拨款支出277.80万元，占本年支出合计的99.46%。与上年相比，增加10.30万元，增长3.85%，主要原因是：</w:t>
      </w:r>
      <w:r>
        <w:rPr>
          <w:rFonts w:hint="eastAsia" w:ascii="Times New Roman" w:hAnsi="Times New Roman" w:eastAsia="仿宋_GB2312" w:cs="仿宋_GB2312"/>
          <w:b w:val="0"/>
          <w:bCs w:val="0"/>
          <w:spacing w:val="0"/>
          <w:sz w:val="32"/>
          <w:szCs w:val="32"/>
          <w:highlight w:val="none"/>
          <w:lang w:eastAsia="zh-CN"/>
        </w:rPr>
        <w:t>一是人员岗位</w:t>
      </w:r>
      <w:r>
        <w:rPr>
          <w:rFonts w:hint="eastAsia" w:eastAsia="仿宋_GB2312" w:cs="仿宋_GB2312"/>
          <w:b w:val="0"/>
          <w:bCs w:val="0"/>
          <w:spacing w:val="0"/>
          <w:sz w:val="32"/>
          <w:szCs w:val="32"/>
          <w:highlight w:val="none"/>
          <w:lang w:eastAsia="zh-CN"/>
        </w:rPr>
        <w:t>等级</w:t>
      </w:r>
      <w:r>
        <w:rPr>
          <w:rFonts w:hint="eastAsia" w:ascii="Times New Roman" w:hAnsi="Times New Roman" w:eastAsia="仿宋_GB2312" w:cs="仿宋_GB2312"/>
          <w:b w:val="0"/>
          <w:bCs w:val="0"/>
          <w:spacing w:val="0"/>
          <w:sz w:val="32"/>
          <w:szCs w:val="32"/>
          <w:highlight w:val="none"/>
          <w:lang w:eastAsia="zh-CN"/>
        </w:rPr>
        <w:t>变动工资增加，二是按要求调增工资</w:t>
      </w:r>
      <w:r>
        <w:rPr>
          <w:rFonts w:hint="eastAsia" w:eastAsia="仿宋_GB2312" w:cs="仿宋_GB2312"/>
          <w:b w:val="0"/>
          <w:bCs w:val="0"/>
          <w:spacing w:val="0"/>
          <w:sz w:val="32"/>
          <w:szCs w:val="32"/>
          <w:highlight w:val="none"/>
          <w:lang w:eastAsia="zh-CN"/>
        </w:rPr>
        <w:t>及</w:t>
      </w:r>
      <w:r>
        <w:rPr>
          <w:rFonts w:hint="eastAsia" w:ascii="Times New Roman" w:hAnsi="Times New Roman" w:eastAsia="仿宋_GB2312" w:cs="仿宋_GB2312"/>
          <w:b w:val="0"/>
          <w:bCs w:val="0"/>
          <w:spacing w:val="0"/>
          <w:sz w:val="32"/>
          <w:szCs w:val="32"/>
          <w:highlight w:val="none"/>
          <w:lang w:eastAsia="zh-CN"/>
        </w:rPr>
        <w:t>年终绩效考核奖</w:t>
      </w:r>
      <w:r>
        <w:rPr>
          <w:rFonts w:hint="eastAsia" w:ascii="Times New Roman" w:hAnsi="Times New Roman" w:eastAsia="仿宋_GB2312"/>
          <w:b w:val="0"/>
          <w:bCs w:val="0"/>
          <w:spacing w:val="0"/>
          <w:sz w:val="32"/>
          <w:szCs w:val="32"/>
          <w:highlight w:val="none"/>
          <w:lang w:eastAsia="zh-CN"/>
        </w:rPr>
        <w:t>。与年初预算相比，年初预算数260.19万元，决算数277.80万元，预决算差异率6.77%，主要原因是：</w:t>
      </w:r>
      <w:r>
        <w:rPr>
          <w:rFonts w:hint="eastAsia" w:ascii="Times New Roman" w:hAnsi="Times New Roman" w:eastAsia="仿宋_GB2312" w:cs="仿宋_GB2312"/>
          <w:b w:val="0"/>
          <w:bCs w:val="0"/>
          <w:spacing w:val="0"/>
          <w:sz w:val="32"/>
          <w:szCs w:val="32"/>
          <w:highlight w:val="none"/>
          <w:lang w:eastAsia="zh-CN"/>
        </w:rPr>
        <w:t>按要求调增工资</w:t>
      </w:r>
      <w:r>
        <w:rPr>
          <w:rFonts w:hint="eastAsia" w:eastAsia="仿宋_GB2312" w:cs="仿宋_GB2312"/>
          <w:b w:val="0"/>
          <w:bCs w:val="0"/>
          <w:spacing w:val="0"/>
          <w:sz w:val="32"/>
          <w:szCs w:val="32"/>
          <w:highlight w:val="none"/>
          <w:lang w:eastAsia="zh-CN"/>
        </w:rPr>
        <w:t>及</w:t>
      </w:r>
      <w:r>
        <w:rPr>
          <w:rFonts w:hint="eastAsia" w:ascii="Times New Roman" w:hAnsi="Times New Roman" w:eastAsia="仿宋_GB2312" w:cs="仿宋_GB2312"/>
          <w:b w:val="0"/>
          <w:bCs w:val="0"/>
          <w:spacing w:val="0"/>
          <w:sz w:val="32"/>
          <w:szCs w:val="32"/>
          <w:highlight w:val="none"/>
          <w:lang w:eastAsia="zh-CN"/>
        </w:rPr>
        <w:t>年终绩效考核奖</w:t>
      </w:r>
      <w:r>
        <w:rPr>
          <w:rFonts w:hint="eastAsia" w:ascii="Times New Roman" w:hAnsi="Times New Roman" w:eastAsia="仿宋_GB2312"/>
          <w:b w:val="0"/>
          <w:bCs w:val="0"/>
          <w:sz w:val="32"/>
          <w:szCs w:val="32"/>
          <w:highlight w:val="none"/>
        </w:rPr>
        <w:t>。</w:t>
      </w:r>
    </w:p>
    <w:p w14:paraId="4F8B4E5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19" w:name="_Toc27147"/>
      <w:r>
        <w:rPr>
          <w:rFonts w:hint="eastAsia" w:ascii="Times New Roman" w:hAnsi="Times New Roman" w:eastAsia="黑体"/>
          <w:sz w:val="32"/>
          <w:szCs w:val="32"/>
          <w:highlight w:val="none"/>
          <w:lang w:eastAsia="zh-CN"/>
        </w:rPr>
        <w:t>（二）一般公共预算</w:t>
      </w:r>
      <w:r>
        <w:rPr>
          <w:rFonts w:hint="eastAsia" w:ascii="Times New Roman" w:hAnsi="Times New Roman" w:eastAsia="黑体"/>
          <w:sz w:val="32"/>
          <w:szCs w:val="32"/>
          <w:highlight w:val="none"/>
          <w:lang w:val="en-US" w:eastAsia="zh-CN"/>
        </w:rPr>
        <w:t>财政拨款支出决算</w:t>
      </w:r>
      <w:r>
        <w:rPr>
          <w:rFonts w:hint="eastAsia" w:ascii="Times New Roman" w:hAnsi="Times New Roman" w:eastAsia="黑体"/>
          <w:sz w:val="32"/>
          <w:szCs w:val="32"/>
          <w:highlight w:val="none"/>
          <w:lang w:eastAsia="zh-CN"/>
        </w:rPr>
        <w:t>结构情况</w:t>
      </w:r>
      <w:bookmarkEnd w:id="19"/>
    </w:p>
    <w:p w14:paraId="56D7853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1.一般公共服务支出（类）193.99万元，占69.83%。</w:t>
      </w:r>
    </w:p>
    <w:p w14:paraId="60262E4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社会保障和就业支出（类）23.85万元，占8.59%。</w:t>
      </w:r>
    </w:p>
    <w:p w14:paraId="6134235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卫生健康支出（类）22.83万元，占8.22%。</w:t>
      </w:r>
    </w:p>
    <w:p w14:paraId="4D21261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rPr>
        <w:t>商业服务业等支出（类）18.65万元，占6.71%。</w:t>
      </w:r>
    </w:p>
    <w:p w14:paraId="040C715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住房保障支出（类）18.47万元，占6.65%。</w:t>
      </w:r>
    </w:p>
    <w:p w14:paraId="26254C5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20" w:name="_Toc10037"/>
      <w:r>
        <w:rPr>
          <w:rFonts w:hint="eastAsia" w:ascii="Times New Roman" w:hAnsi="Times New Roman" w:eastAsia="黑体"/>
          <w:sz w:val="32"/>
          <w:szCs w:val="32"/>
          <w:highlight w:val="none"/>
          <w:lang w:eastAsia="zh-CN"/>
        </w:rPr>
        <w:t>（三）一般公共预算财政拨款支出决算具体情况</w:t>
      </w:r>
      <w:bookmarkEnd w:id="20"/>
    </w:p>
    <w:p w14:paraId="4820C8B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1</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一般公共服务支出（类）商贸事务（款）事业运行（项）：支出决算数为193.99万元，比上年决算减少14.35万元，下降6.89%，主要原因是：</w:t>
      </w:r>
      <w:r>
        <w:rPr>
          <w:rFonts w:hint="eastAsia" w:eastAsia="仿宋_GB2312" w:cs="仿宋_GB2312"/>
          <w:kern w:val="0"/>
          <w:sz w:val="32"/>
          <w:szCs w:val="32"/>
          <w:highlight w:val="none"/>
          <w:lang w:val="en-US" w:eastAsia="zh-CN"/>
        </w:rPr>
        <w:t>2023</w:t>
      </w:r>
      <w:r>
        <w:rPr>
          <w:rFonts w:hint="eastAsia" w:ascii="Times New Roman" w:hAnsi="Times New Roman" w:eastAsia="仿宋_GB2312" w:cs="仿宋_GB2312"/>
          <w:kern w:val="0"/>
          <w:sz w:val="32"/>
          <w:szCs w:val="32"/>
          <w:highlight w:val="none"/>
        </w:rPr>
        <w:t>年将应列为商业服务业科目支出的项目经费列入了</w:t>
      </w:r>
      <w:r>
        <w:rPr>
          <w:rFonts w:hint="eastAsia" w:ascii="Times New Roman" w:hAnsi="Times New Roman" w:eastAsia="仿宋_GB2312" w:cs="仿宋_GB2312"/>
          <w:kern w:val="0"/>
          <w:sz w:val="32"/>
          <w:szCs w:val="32"/>
          <w:highlight w:val="none"/>
          <w:lang w:eastAsia="zh-CN"/>
        </w:rPr>
        <w:t>事业运行的</w:t>
      </w:r>
      <w:r>
        <w:rPr>
          <w:rFonts w:hint="eastAsia" w:ascii="Times New Roman" w:hAnsi="Times New Roman" w:eastAsia="仿宋_GB2312" w:cs="仿宋_GB2312"/>
          <w:kern w:val="0"/>
          <w:sz w:val="32"/>
          <w:szCs w:val="32"/>
          <w:highlight w:val="none"/>
        </w:rPr>
        <w:t>主款科目，本年度对项目经费科目进行调整更正，</w:t>
      </w:r>
      <w:r>
        <w:rPr>
          <w:rFonts w:hint="eastAsia" w:ascii="Times New Roman" w:hAnsi="Times New Roman" w:eastAsia="仿宋_GB2312" w:cs="仿宋_GB2312"/>
          <w:kern w:val="0"/>
          <w:sz w:val="32"/>
          <w:szCs w:val="32"/>
          <w:highlight w:val="none"/>
          <w:lang w:eastAsia="zh-CN"/>
        </w:rPr>
        <w:t>事业运行经费减少</w:t>
      </w:r>
      <w:r>
        <w:rPr>
          <w:rFonts w:hint="eastAsia" w:ascii="Times New Roman" w:hAnsi="Times New Roman" w:eastAsia="仿宋_GB2312" w:cs="仿宋_GB2312"/>
          <w:kern w:val="0"/>
          <w:sz w:val="32"/>
          <w:szCs w:val="32"/>
          <w:highlight w:val="none"/>
        </w:rPr>
        <w:t>。</w:t>
      </w:r>
    </w:p>
    <w:p w14:paraId="427B81F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2</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社会保障和就业支出（类）行政事业单位养老支出（款）机关事业单位基本养老保险缴费支出（项）：支出决算数为23.85万元，比上年决算增加1.04万元，增长4.56%，主要原因是：基本养老保险缴费基数调增，支出相应增加。</w:t>
      </w:r>
    </w:p>
    <w:p w14:paraId="1368E0E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3</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卫生健康支出（类）行政事业单位医疗（款）事业单位医疗（项）：支出决算数为11.54万元，比上年决算增加0.85万元，增长7.95%，主要原因是：医疗保险缴费基数调增，支出相应增加。</w:t>
      </w:r>
    </w:p>
    <w:p w14:paraId="1629019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4</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卫生健康支出（类）行政事业单位医疗（款）公务员医疗补助（项）：支出决算数为11.29万元，比上年决算增加2.74万元，增长32.05%，主要原因是：公务员医疗补助缴费基数调整，支出相应增加。</w:t>
      </w:r>
    </w:p>
    <w:p w14:paraId="25C376C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5</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商业服务业等支出（类）其他商业服务业等支出（款）其他商业服务业等支出（项）：支出决算数为18.65万元，比上年决算增加18.65万元，增长100.00%，主要原因是：</w:t>
      </w:r>
      <w:r>
        <w:rPr>
          <w:rFonts w:hint="eastAsia" w:eastAsia="仿宋_GB2312" w:cs="仿宋_GB2312"/>
          <w:kern w:val="0"/>
          <w:sz w:val="32"/>
          <w:szCs w:val="32"/>
          <w:highlight w:val="none"/>
          <w:lang w:val="en-US" w:eastAsia="zh-CN"/>
        </w:rPr>
        <w:t>2023</w:t>
      </w:r>
      <w:r>
        <w:rPr>
          <w:rFonts w:hint="eastAsia" w:ascii="Times New Roman" w:hAnsi="Times New Roman" w:eastAsia="仿宋_GB2312" w:cs="仿宋_GB2312"/>
          <w:kern w:val="0"/>
          <w:sz w:val="32"/>
          <w:szCs w:val="32"/>
          <w:highlight w:val="none"/>
        </w:rPr>
        <w:t>年将应列为</w:t>
      </w:r>
      <w:r>
        <w:rPr>
          <w:rFonts w:hint="eastAsia" w:eastAsia="仿宋_GB2312" w:cs="仿宋_GB2312"/>
          <w:kern w:val="0"/>
          <w:sz w:val="32"/>
          <w:szCs w:val="32"/>
          <w:highlight w:val="none"/>
          <w:lang w:eastAsia="zh-CN"/>
        </w:rPr>
        <w:t>商务服务业</w:t>
      </w:r>
      <w:r>
        <w:rPr>
          <w:rFonts w:hint="eastAsia" w:ascii="Times New Roman" w:hAnsi="Times New Roman" w:eastAsia="仿宋_GB2312" w:cs="仿宋_GB2312"/>
          <w:kern w:val="0"/>
          <w:sz w:val="32"/>
          <w:szCs w:val="32"/>
          <w:highlight w:val="none"/>
        </w:rPr>
        <w:t>科目支出的项目经费列入了</w:t>
      </w:r>
      <w:r>
        <w:rPr>
          <w:rFonts w:hint="eastAsia" w:eastAsia="仿宋_GB2312" w:cs="仿宋_GB2312"/>
          <w:kern w:val="0"/>
          <w:sz w:val="32"/>
          <w:szCs w:val="32"/>
          <w:highlight w:val="none"/>
          <w:lang w:eastAsia="zh-CN"/>
        </w:rPr>
        <w:t>事业运行</w:t>
      </w:r>
      <w:r>
        <w:rPr>
          <w:rFonts w:hint="eastAsia" w:ascii="Times New Roman" w:hAnsi="Times New Roman" w:eastAsia="仿宋_GB2312" w:cs="仿宋_GB2312"/>
          <w:kern w:val="0"/>
          <w:sz w:val="32"/>
          <w:szCs w:val="32"/>
          <w:highlight w:val="none"/>
        </w:rPr>
        <w:t>主款科目，本年度对项目经费科目进行调整更正，项目经费增加。</w:t>
      </w:r>
    </w:p>
    <w:p w14:paraId="2DE9D31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kern w:val="0"/>
          <w:sz w:val="32"/>
          <w:szCs w:val="32"/>
          <w:highlight w:val="none"/>
        </w:rPr>
        <w:t>6</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住房保障支出（类）住房改革支出（款）住房公积金（项）：支出决算数为18.47万元，比上年决算增加1.36万元，增长7.95%，主要原因是：住房公积金缴费基数调增，支出相应增加。</w:t>
      </w:r>
    </w:p>
    <w:p w14:paraId="1705831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21" w:name="_Toc11146"/>
      <w:bookmarkStart w:id="22" w:name="_Toc23415"/>
      <w:r>
        <w:rPr>
          <w:rFonts w:hint="eastAsia" w:ascii="Times New Roman" w:hAnsi="Times New Roman" w:eastAsia="黑体" w:cs="宋体"/>
          <w:bCs/>
          <w:kern w:val="0"/>
          <w:sz w:val="32"/>
          <w:szCs w:val="32"/>
          <w:highlight w:val="none"/>
          <w:lang w:eastAsia="zh-CN"/>
        </w:rPr>
        <w:t>六、一般公共预算财政拨款基本支出决算情况说明</w:t>
      </w:r>
      <w:bookmarkEnd w:id="21"/>
      <w:bookmarkEnd w:id="22"/>
    </w:p>
    <w:p w14:paraId="7D472978">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2024年度一般公共预算财政拨款基本支出259.15万元，其中：人员经费247.36万元，包括：基本工资、津贴补贴、奖金、机关事业单位基本养老保险缴费、职工基本医疗保险缴费、公务员医疗补助缴费、其他社会保障缴费和住房公积金。</w:t>
      </w:r>
    </w:p>
    <w:p w14:paraId="510BE8C9">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宋体"/>
          <w:kern w:val="0"/>
          <w:sz w:val="32"/>
          <w:szCs w:val="32"/>
          <w:highlight w:val="none"/>
        </w:rPr>
      </w:pPr>
      <w:r>
        <w:rPr>
          <w:rFonts w:hint="eastAsia" w:ascii="Times New Roman" w:hAnsi="Times New Roman" w:eastAsia="仿宋_GB2312"/>
          <w:b w:val="0"/>
          <w:bCs w:val="0"/>
          <w:spacing w:val="0"/>
          <w:sz w:val="32"/>
          <w:szCs w:val="32"/>
          <w:highlight w:val="none"/>
          <w:lang w:eastAsia="zh-CN"/>
        </w:rPr>
        <w:t>公用经费11.79万元，</w:t>
      </w:r>
      <w:r>
        <w:rPr>
          <w:rFonts w:hint="eastAsia" w:ascii="Times New Roman" w:hAnsi="Times New Roman" w:eastAsia="仿宋_GB2312"/>
          <w:spacing w:val="0"/>
          <w:sz w:val="32"/>
          <w:szCs w:val="32"/>
          <w:highlight w:val="none"/>
          <w:lang w:eastAsia="zh-CN"/>
        </w:rPr>
        <w:t>包括：办公费、手续费、邮电费、差旅费、工会经费和福利费</w:t>
      </w:r>
      <w:r>
        <w:rPr>
          <w:rFonts w:hint="eastAsia" w:ascii="Times New Roman" w:hAnsi="Times New Roman" w:eastAsia="仿宋_GB2312"/>
          <w:sz w:val="32"/>
          <w:szCs w:val="32"/>
          <w:highlight w:val="none"/>
          <w:lang w:eastAsia="zh-CN"/>
        </w:rPr>
        <w:t>。</w:t>
      </w:r>
    </w:p>
    <w:p w14:paraId="372A845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23" w:name="_Toc7927"/>
      <w:bookmarkStart w:id="24" w:name="_Toc7523"/>
      <w:r>
        <w:rPr>
          <w:rFonts w:hint="eastAsia" w:ascii="Times New Roman" w:hAnsi="Times New Roman" w:eastAsia="黑体" w:cs="宋体"/>
          <w:bCs/>
          <w:kern w:val="0"/>
          <w:sz w:val="32"/>
          <w:szCs w:val="32"/>
          <w:highlight w:val="none"/>
          <w:lang w:val="en-US" w:eastAsia="zh-CN"/>
        </w:rPr>
        <w:t>七、</w:t>
      </w:r>
      <w:r>
        <w:rPr>
          <w:rFonts w:hint="eastAsia" w:ascii="Times New Roman" w:hAnsi="Times New Roman" w:eastAsia="黑体" w:cs="宋体"/>
          <w:bCs/>
          <w:kern w:val="0"/>
          <w:sz w:val="32"/>
          <w:szCs w:val="32"/>
          <w:highlight w:val="none"/>
          <w:lang w:eastAsia="zh-CN"/>
        </w:rPr>
        <w:t>政府性基金预算财政拨款收入支出决算情况说明</w:t>
      </w:r>
      <w:bookmarkEnd w:id="23"/>
      <w:bookmarkEnd w:id="24"/>
    </w:p>
    <w:p w14:paraId="2A80A3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本单位本年度无政府性基金预算财政拨款收入、支出</w:t>
      </w:r>
      <w:r>
        <w:rPr>
          <w:rFonts w:hint="eastAsia" w:ascii="Times New Roman" w:hAnsi="Times New Roman" w:eastAsia="仿宋_GB2312"/>
          <w:sz w:val="32"/>
          <w:szCs w:val="32"/>
          <w:highlight w:val="none"/>
          <w:lang w:val="en-US" w:eastAsia="zh-CN"/>
        </w:rPr>
        <w:t>及结转和结余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政府性基金预算财政拨款收入支出决算表为空表。</w:t>
      </w:r>
    </w:p>
    <w:p w14:paraId="7077068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25" w:name="_Toc5563"/>
      <w:r>
        <w:rPr>
          <w:rFonts w:hint="eastAsia" w:ascii="Times New Roman" w:hAnsi="Times New Roman" w:eastAsia="黑体" w:cs="宋体"/>
          <w:bCs/>
          <w:kern w:val="0"/>
          <w:sz w:val="32"/>
          <w:szCs w:val="32"/>
          <w:highlight w:val="none"/>
          <w:lang w:val="en-US" w:eastAsia="zh-CN"/>
        </w:rPr>
        <w:t>八</w:t>
      </w:r>
      <w:r>
        <w:rPr>
          <w:rFonts w:hint="eastAsia" w:ascii="Times New Roman" w:hAnsi="Times New Roman" w:eastAsia="黑体" w:cs="宋体"/>
          <w:bCs/>
          <w:kern w:val="0"/>
          <w:sz w:val="32"/>
          <w:szCs w:val="32"/>
          <w:highlight w:val="none"/>
          <w:lang w:eastAsia="zh-CN"/>
        </w:rPr>
        <w:t>、国有资本经营预算财政拨款收入支出决算情况说明</w:t>
      </w:r>
      <w:bookmarkEnd w:id="25"/>
    </w:p>
    <w:p w14:paraId="6581A8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sz w:val="32"/>
          <w:szCs w:val="32"/>
          <w:highlight w:val="none"/>
          <w:lang w:eastAsia="zh-CN"/>
        </w:rPr>
        <w:t>本单位本年度无国有资本经营预算财政拨款收入、支出</w:t>
      </w:r>
      <w:r>
        <w:rPr>
          <w:rFonts w:hint="eastAsia" w:ascii="Times New Roman" w:hAnsi="Times New Roman" w:eastAsia="仿宋_GB2312"/>
          <w:sz w:val="32"/>
          <w:szCs w:val="32"/>
          <w:highlight w:val="none"/>
          <w:lang w:val="en-US" w:eastAsia="zh-CN"/>
        </w:rPr>
        <w:t>及结转和结余</w:t>
      </w:r>
      <w:r>
        <w:rPr>
          <w:rFonts w:hint="eastAsia" w:ascii="Times New Roman" w:hAnsi="Times New Roman" w:eastAsia="仿宋_GB2312"/>
          <w:sz w:val="32"/>
          <w:szCs w:val="32"/>
          <w:highlight w:val="none"/>
          <w:lang w:eastAsia="zh-CN"/>
        </w:rPr>
        <w:t>，国有资本经营</w:t>
      </w:r>
      <w:r>
        <w:rPr>
          <w:rFonts w:hint="eastAsia" w:ascii="Times New Roman" w:hAnsi="Times New Roman" w:eastAsia="仿宋_GB2312"/>
          <w:sz w:val="32"/>
          <w:szCs w:val="32"/>
          <w:highlight w:val="none"/>
        </w:rPr>
        <w:t>预算财政拨款收入支出决算表为空表。</w:t>
      </w:r>
      <w:bookmarkStart w:id="26" w:name="_Toc7190"/>
    </w:p>
    <w:p w14:paraId="7C2B24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27" w:name="_Toc9161"/>
      <w:r>
        <w:rPr>
          <w:rFonts w:hint="eastAsia" w:ascii="Times New Roman" w:hAnsi="Times New Roman" w:eastAsia="黑体" w:cs="宋体"/>
          <w:bCs/>
          <w:kern w:val="0"/>
          <w:sz w:val="32"/>
          <w:szCs w:val="32"/>
          <w:highlight w:val="none"/>
          <w:lang w:val="en-US" w:eastAsia="zh-CN"/>
        </w:rPr>
        <w:t>九</w:t>
      </w:r>
      <w:r>
        <w:rPr>
          <w:rFonts w:hint="eastAsia" w:ascii="Times New Roman" w:hAnsi="Times New Roman" w:eastAsia="黑体" w:cs="宋体"/>
          <w:bCs/>
          <w:kern w:val="0"/>
          <w:sz w:val="32"/>
          <w:szCs w:val="32"/>
          <w:highlight w:val="none"/>
          <w:lang w:eastAsia="zh-CN"/>
        </w:rPr>
        <w:t>、财政拨款</w:t>
      </w:r>
      <w:r>
        <w:rPr>
          <w:rFonts w:hint="eastAsia" w:ascii="Times New Roman" w:hAnsi="Times New Roman" w:eastAsia="黑体" w:cs="宋体"/>
          <w:bCs/>
          <w:kern w:val="0"/>
          <w:sz w:val="32"/>
          <w:szCs w:val="32"/>
          <w:highlight w:val="none"/>
        </w:rPr>
        <w:t>“三公”经费支出</w:t>
      </w:r>
      <w:r>
        <w:rPr>
          <w:rFonts w:hint="eastAsia" w:ascii="Times New Roman" w:hAnsi="Times New Roman" w:eastAsia="黑体" w:cs="宋体"/>
          <w:bCs/>
          <w:kern w:val="0"/>
          <w:sz w:val="32"/>
          <w:szCs w:val="32"/>
          <w:highlight w:val="none"/>
          <w:lang w:eastAsia="zh-CN"/>
        </w:rPr>
        <w:t>决算</w:t>
      </w:r>
      <w:r>
        <w:rPr>
          <w:rFonts w:hint="eastAsia" w:ascii="Times New Roman" w:hAnsi="Times New Roman" w:eastAsia="黑体" w:cs="宋体"/>
          <w:bCs/>
          <w:kern w:val="0"/>
          <w:sz w:val="32"/>
          <w:szCs w:val="32"/>
          <w:highlight w:val="none"/>
        </w:rPr>
        <w:t>情况</w:t>
      </w:r>
      <w:r>
        <w:rPr>
          <w:rFonts w:hint="eastAsia" w:ascii="Times New Roman" w:hAnsi="Times New Roman" w:eastAsia="黑体" w:cs="宋体"/>
          <w:bCs/>
          <w:kern w:val="0"/>
          <w:sz w:val="32"/>
          <w:szCs w:val="32"/>
          <w:highlight w:val="none"/>
          <w:lang w:eastAsia="zh-CN"/>
        </w:rPr>
        <w:t>说明</w:t>
      </w:r>
      <w:bookmarkEnd w:id="26"/>
      <w:bookmarkEnd w:id="27"/>
    </w:p>
    <w:p w14:paraId="1BD2C44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2024年度财政拨款“三公”经费支出0.00万元，与上年相比无变化，主要原因是：本年度我单位未安排“三公”经费支出。其中：因公出国（境）费支出0.00万元,占0.00%，与上年相比无变化，主要原因是：本年度我单位未安排因公出国（境）经费支出；公务用车购置及运行维护费支出0.00万元，占0.00%，与上年相比无变化，主要原因是：本年度我单位未安排公务用车购置及运行维护费支出；公务接待费支出0.00万元，占0.00%，与上年相比无变化，主要原因是：本年度我单位未安排公务接待费支出。</w:t>
      </w:r>
    </w:p>
    <w:p w14:paraId="16F989F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具体情况如下：</w:t>
      </w:r>
    </w:p>
    <w:p w14:paraId="0A30DC3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因公出国（境）费支出0.00万元，开支内容包括因公出国（境）费，本年度我单位未安排因公出国（境）经费支出。单位全年安排的因公出国（境）团组0个，因公出国（境）0人次。</w:t>
      </w:r>
    </w:p>
    <w:p w14:paraId="4BC23B3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公务用车购置及运行维护费0.00万元，其中：公务用车购置费0.00万元，公务用车运行维护费0.00万元。公务用车运行维护费开支内容包括公务用车购置及运行维护费，本年度我单位未安排公务用车购置及运行维护费支出。公务用车购置数0辆，公务用车保有量0辆。国有资产占用情况中固定资产车辆0辆，与公务用车保有量差异原因是：本单位无公务用车，与公务用车保有量无差异。</w:t>
      </w:r>
    </w:p>
    <w:p w14:paraId="56C46DB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公务接待费0.00万元，开支内容包括公务接待费，本年度我单位未安排公务接待费支出。单位全年安排的国内公务接待0批次，0人次。</w:t>
      </w:r>
    </w:p>
    <w:p w14:paraId="719B0CEA">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b w:val="0"/>
          <w:bCs w:val="0"/>
          <w:spacing w:val="0"/>
          <w:sz w:val="32"/>
          <w:szCs w:val="32"/>
          <w:highlight w:val="none"/>
          <w:lang w:eastAsia="zh-CN"/>
        </w:rPr>
        <w:t>与全年预算相比，财政拨款“三公”经费支出全年预算数0.00万元，决算数0.00万元，预决算差异率0.00%，主要原因是：本年度我单位未安排“三公”经费支出。其中：因公出国（境）费全年预算数0.00万元，决算数0.00万元，预决算差异率0.00%，主要原因是：本年度我单位未安排因公出国（境）经费支出；公务用车购置费全年预算数0.00万元，决算数0.00万元，预决算差异率0.00%，主要原因是：本年度我单位未安排公务用车购置费支出；公务用车运行维护费全年预算数0.00万元，决算数0.00万元，预决算差异率0.00%，主要原因是：本年度我单位未安排公务用车运行维护费支出；公务接待费全年预算数0.00万元，决算数0.00万元，预决算差异率0.00%，主要原因是：本年度我单位未安排公务接待费支出</w:t>
      </w:r>
      <w:r>
        <w:rPr>
          <w:rFonts w:hint="eastAsia" w:ascii="Times New Roman" w:hAnsi="Times New Roman" w:eastAsia="仿宋_GB2312"/>
          <w:sz w:val="32"/>
          <w:szCs w:val="32"/>
          <w:highlight w:val="none"/>
        </w:rPr>
        <w:t>。</w:t>
      </w:r>
    </w:p>
    <w:p w14:paraId="56E9FDA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28" w:name="_Toc16395"/>
      <w:bookmarkStart w:id="29" w:name="_Toc7314"/>
      <w:r>
        <w:rPr>
          <w:rFonts w:hint="eastAsia" w:ascii="Times New Roman" w:hAnsi="Times New Roman" w:eastAsia="黑体" w:cs="宋体"/>
          <w:bCs/>
          <w:kern w:val="0"/>
          <w:sz w:val="32"/>
          <w:szCs w:val="32"/>
          <w:highlight w:val="none"/>
          <w:lang w:eastAsia="zh-CN"/>
        </w:rPr>
        <w:t>十</w:t>
      </w:r>
      <w:r>
        <w:rPr>
          <w:rFonts w:hint="eastAsia" w:ascii="Times New Roman" w:hAnsi="Times New Roman" w:eastAsia="黑体" w:cs="宋体"/>
          <w:bCs/>
          <w:kern w:val="0"/>
          <w:sz w:val="32"/>
          <w:szCs w:val="32"/>
          <w:highlight w:val="none"/>
        </w:rPr>
        <w:t>、其他重要事项的情况</w:t>
      </w:r>
      <w:r>
        <w:rPr>
          <w:rFonts w:hint="eastAsia" w:ascii="Times New Roman" w:hAnsi="Times New Roman" w:eastAsia="黑体" w:cs="宋体"/>
          <w:bCs/>
          <w:kern w:val="0"/>
          <w:sz w:val="32"/>
          <w:szCs w:val="32"/>
          <w:highlight w:val="none"/>
          <w:lang w:eastAsia="zh-CN"/>
        </w:rPr>
        <w:t>说明</w:t>
      </w:r>
      <w:bookmarkEnd w:id="28"/>
      <w:bookmarkEnd w:id="29"/>
    </w:p>
    <w:p w14:paraId="0537D23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rPr>
      </w:pPr>
      <w:bookmarkStart w:id="30" w:name="_Toc21748"/>
      <w:bookmarkStart w:id="31" w:name="_Toc13105"/>
      <w:r>
        <w:rPr>
          <w:rFonts w:hint="eastAsia" w:ascii="Times New Roman" w:hAnsi="Times New Roman" w:eastAsia="黑体"/>
          <w:sz w:val="32"/>
          <w:szCs w:val="32"/>
          <w:highlight w:val="none"/>
          <w:lang w:eastAsia="zh-CN"/>
        </w:rPr>
        <w:t>（一）</w:t>
      </w:r>
      <w:r>
        <w:rPr>
          <w:rFonts w:hint="eastAsia" w:ascii="Times New Roman" w:hAnsi="Times New Roman" w:eastAsia="黑体"/>
          <w:sz w:val="32"/>
          <w:szCs w:val="32"/>
          <w:highlight w:val="none"/>
        </w:rPr>
        <w:t>机关运行经费</w:t>
      </w:r>
      <w:r>
        <w:rPr>
          <w:rFonts w:hint="eastAsia" w:ascii="Times New Roman" w:hAnsi="Times New Roman" w:eastAsia="黑体"/>
          <w:sz w:val="32"/>
          <w:szCs w:val="32"/>
          <w:highlight w:val="none"/>
          <w:lang w:val="en-US" w:eastAsia="zh-CN"/>
        </w:rPr>
        <w:t>及公用经费</w:t>
      </w:r>
      <w:r>
        <w:rPr>
          <w:rFonts w:hint="eastAsia" w:ascii="Times New Roman" w:hAnsi="Times New Roman" w:eastAsia="黑体"/>
          <w:sz w:val="32"/>
          <w:szCs w:val="32"/>
          <w:highlight w:val="none"/>
        </w:rPr>
        <w:t>支出情况</w:t>
      </w:r>
      <w:bookmarkEnd w:id="30"/>
      <w:bookmarkEnd w:id="31"/>
    </w:p>
    <w:p w14:paraId="47AF3E9E">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pacing w:val="0"/>
          <w:sz w:val="32"/>
          <w:szCs w:val="32"/>
          <w:highlight w:val="none"/>
          <w:lang w:eastAsia="zh-CN"/>
        </w:rPr>
        <w:t>2024年度新疆维吾尔自治区商务信息中心单位（事业单位）公用经费支出11.79万元，比上年减少18.80万元，下降61.46%，主要原因是：</w:t>
      </w:r>
      <w:r>
        <w:rPr>
          <w:rFonts w:hint="eastAsia" w:eastAsia="仿宋_GB2312"/>
          <w:spacing w:val="0"/>
          <w:sz w:val="32"/>
          <w:szCs w:val="32"/>
          <w:highlight w:val="none"/>
          <w:lang w:val="en-US" w:eastAsia="zh-CN"/>
        </w:rPr>
        <w:t>2023</w:t>
      </w:r>
      <w:r>
        <w:rPr>
          <w:rFonts w:hint="eastAsia" w:ascii="Times New Roman" w:hAnsi="Times New Roman" w:eastAsia="仿宋_GB2312"/>
          <w:spacing w:val="0"/>
          <w:sz w:val="32"/>
          <w:szCs w:val="32"/>
          <w:highlight w:val="none"/>
          <w:lang w:eastAsia="zh-CN"/>
        </w:rPr>
        <w:t>年将应列为商业服务业科目支出的项目经费列入了事业运行的主款科目，本年度对项目经费科目进行调整更正，</w:t>
      </w:r>
      <w:bookmarkStart w:id="59" w:name="_GoBack"/>
      <w:bookmarkEnd w:id="59"/>
      <w:r>
        <w:rPr>
          <w:rFonts w:hint="eastAsia" w:ascii="Times New Roman" w:hAnsi="Times New Roman" w:eastAsia="仿宋_GB2312"/>
          <w:spacing w:val="0"/>
          <w:sz w:val="32"/>
          <w:szCs w:val="32"/>
          <w:highlight w:val="none"/>
          <w:lang w:eastAsia="zh-CN"/>
        </w:rPr>
        <w:t>公用经费减少</w:t>
      </w:r>
      <w:r>
        <w:rPr>
          <w:rFonts w:hint="eastAsia" w:ascii="Times New Roman" w:hAnsi="Times New Roman" w:eastAsia="仿宋_GB2312"/>
          <w:sz w:val="32"/>
          <w:szCs w:val="32"/>
          <w:highlight w:val="none"/>
        </w:rPr>
        <w:t>。</w:t>
      </w:r>
    </w:p>
    <w:p w14:paraId="0C1E281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32" w:name="_Toc26704"/>
      <w:bookmarkStart w:id="33" w:name="_Toc25177"/>
      <w:r>
        <w:rPr>
          <w:rFonts w:hint="eastAsia" w:ascii="Times New Roman" w:hAnsi="Times New Roman" w:eastAsia="黑体"/>
          <w:sz w:val="32"/>
          <w:szCs w:val="32"/>
          <w:highlight w:val="none"/>
          <w:lang w:eastAsia="zh-CN"/>
        </w:rPr>
        <w:t>（二）政府采购情况</w:t>
      </w:r>
      <w:bookmarkEnd w:id="32"/>
      <w:bookmarkEnd w:id="33"/>
    </w:p>
    <w:p w14:paraId="7A8F13A0">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pacing w:val="0"/>
          <w:sz w:val="32"/>
          <w:szCs w:val="32"/>
          <w:highlight w:val="none"/>
          <w:lang w:eastAsia="zh-CN"/>
        </w:rPr>
      </w:pPr>
      <w:r>
        <w:rPr>
          <w:rFonts w:hint="eastAsia" w:ascii="Times New Roman" w:hAnsi="Times New Roman" w:eastAsia="仿宋_GB2312"/>
          <w:spacing w:val="0"/>
          <w:sz w:val="32"/>
          <w:szCs w:val="32"/>
          <w:highlight w:val="none"/>
          <w:lang w:eastAsia="zh-CN"/>
        </w:rPr>
        <w:t>2024年度政府采购支出总额5.36万元，其中：政府采购货物支出5.36万元、政府采购工程支出0.00万元、政府采购服务支出0.00万元。</w:t>
      </w:r>
    </w:p>
    <w:p w14:paraId="5B7F97A3">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pacing w:val="0"/>
          <w:sz w:val="32"/>
          <w:szCs w:val="32"/>
          <w:highlight w:val="none"/>
          <w:lang w:eastAsia="zh-CN"/>
        </w:rPr>
        <w:t>授予中小企业合同金额0.00万元，占政府采购支出总额的0.00%，其中：授予小微企业合同金额0.00万元，占政府采购支出总额的0.00%</w:t>
      </w:r>
      <w:r>
        <w:rPr>
          <w:rFonts w:hint="eastAsia" w:ascii="Times New Roman" w:hAnsi="Times New Roman" w:eastAsia="仿宋_GB2312"/>
          <w:sz w:val="32"/>
          <w:szCs w:val="32"/>
          <w:highlight w:val="none"/>
          <w:lang w:val="en-US" w:eastAsia="zh-CN"/>
        </w:rPr>
        <w:t>。</w:t>
      </w:r>
    </w:p>
    <w:p w14:paraId="4BA623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34" w:name="_Toc31294"/>
      <w:bookmarkStart w:id="35" w:name="_Toc4591"/>
      <w:r>
        <w:rPr>
          <w:rFonts w:hint="eastAsia" w:ascii="Times New Roman" w:hAnsi="Times New Roman" w:eastAsia="黑体"/>
          <w:sz w:val="32"/>
          <w:szCs w:val="32"/>
          <w:highlight w:val="none"/>
          <w:lang w:eastAsia="zh-CN"/>
        </w:rPr>
        <w:t>（三）国有资产占用情况说明</w:t>
      </w:r>
      <w:bookmarkEnd w:id="34"/>
      <w:bookmarkEnd w:id="35"/>
    </w:p>
    <w:p w14:paraId="2A43EA57">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r>
        <w:rPr>
          <w:rFonts w:hint="eastAsia" w:ascii="Times New Roman" w:hAnsi="Times New Roman" w:eastAsia="仿宋_GB2312"/>
          <w:sz w:val="32"/>
          <w:szCs w:val="32"/>
          <w:highlight w:val="none"/>
        </w:rPr>
        <w:t>。</w:t>
      </w:r>
    </w:p>
    <w:p w14:paraId="61158C6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36" w:name="_Toc435"/>
      <w:bookmarkStart w:id="37" w:name="_Toc17664"/>
      <w:r>
        <w:rPr>
          <w:rFonts w:hint="eastAsia" w:ascii="Times New Roman" w:hAnsi="Times New Roman" w:eastAsia="黑体" w:cs="宋体"/>
          <w:bCs/>
          <w:kern w:val="0"/>
          <w:sz w:val="32"/>
          <w:szCs w:val="32"/>
          <w:highlight w:val="none"/>
          <w:lang w:eastAsia="zh-CN"/>
        </w:rPr>
        <w:t>十</w:t>
      </w:r>
      <w:r>
        <w:rPr>
          <w:rFonts w:hint="eastAsia" w:ascii="Times New Roman" w:hAnsi="Times New Roman" w:eastAsia="黑体" w:cs="宋体"/>
          <w:bCs/>
          <w:kern w:val="0"/>
          <w:sz w:val="32"/>
          <w:szCs w:val="32"/>
          <w:highlight w:val="none"/>
          <w:lang w:val="en-US" w:eastAsia="zh-CN"/>
        </w:rPr>
        <w:t>一</w:t>
      </w:r>
      <w:r>
        <w:rPr>
          <w:rFonts w:hint="eastAsia" w:ascii="Times New Roman" w:hAnsi="Times New Roman" w:eastAsia="黑体" w:cs="宋体"/>
          <w:bCs/>
          <w:kern w:val="0"/>
          <w:sz w:val="32"/>
          <w:szCs w:val="32"/>
          <w:highlight w:val="none"/>
          <w:lang w:eastAsia="zh-CN"/>
        </w:rPr>
        <w:t>、预算绩效的情况说明</w:t>
      </w:r>
      <w:bookmarkEnd w:id="36"/>
      <w:bookmarkEnd w:id="37"/>
    </w:p>
    <w:p w14:paraId="37C4772E">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根据预算绩效管理要求，</w:t>
      </w:r>
      <w:r>
        <w:rPr>
          <w:rFonts w:hint="eastAsia" w:ascii="Times New Roman" w:hAnsi="Times New Roman" w:eastAsia="仿宋_GB2312"/>
          <w:sz w:val="32"/>
          <w:szCs w:val="32"/>
          <w:highlight w:val="none"/>
          <w:lang w:val="en-US" w:eastAsia="zh-CN"/>
        </w:rPr>
        <w:t>本</w:t>
      </w:r>
      <w:r>
        <w:rPr>
          <w:rFonts w:hint="eastAsia" w:ascii="Times New Roman" w:hAnsi="Times New Roman" w:eastAsia="仿宋_GB2312"/>
          <w:sz w:val="32"/>
          <w:szCs w:val="32"/>
          <w:highlight w:val="none"/>
          <w:lang w:eastAsia="zh-CN"/>
        </w:rPr>
        <w:t>单位2024年度预算绩效评价项目</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个，</w:t>
      </w:r>
      <w:r>
        <w:rPr>
          <w:rFonts w:hint="eastAsia" w:ascii="Times New Roman" w:hAnsi="Times New Roman" w:eastAsia="仿宋_GB2312"/>
          <w:sz w:val="32"/>
          <w:szCs w:val="32"/>
          <w:highlight w:val="none"/>
          <w:lang w:val="en-US" w:eastAsia="zh-CN"/>
        </w:rPr>
        <w:t>全年预算数20.00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全年执行数20.00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p>
    <w:p w14:paraId="6B3C5B6B">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b w:val="0"/>
          <w:bCs w:val="0"/>
          <w:sz w:val="32"/>
          <w:szCs w:val="32"/>
          <w:highlight w:val="none"/>
          <w:lang w:eastAsia="zh-CN"/>
        </w:rPr>
        <w:t>预算绩效管理取得的成效：</w:t>
      </w:r>
      <w:r>
        <w:rPr>
          <w:rFonts w:hint="eastAsia" w:ascii="Times New Roman" w:hAnsi="Times New Roman" w:eastAsia="仿宋_GB2312"/>
          <w:sz w:val="32"/>
          <w:szCs w:val="32"/>
          <w:highlight w:val="none"/>
          <w:lang w:eastAsia="zh-CN"/>
        </w:rPr>
        <w:t>一是在机构改革中增强了预算统筹能力。在改革过渡期既确保了新业务工作的正常开展和新职能的发挥，同时按期推进预算执行进度；二是将牢固树立“过紧日子”的思想融入在机构改革工作中。</w:t>
      </w:r>
      <w:r>
        <w:rPr>
          <w:rFonts w:hint="eastAsia" w:ascii="Times New Roman" w:hAnsi="Times New Roman" w:eastAsia="仿宋_GB2312"/>
          <w:b w:val="0"/>
          <w:bCs w:val="0"/>
          <w:sz w:val="32"/>
          <w:szCs w:val="32"/>
          <w:highlight w:val="none"/>
          <w:lang w:eastAsia="zh-CN"/>
        </w:rPr>
        <w:t>发现的问题及原因：</w:t>
      </w:r>
      <w:r>
        <w:rPr>
          <w:rFonts w:ascii="Times New Roman" w:hAnsi="Times New Roman" w:eastAsia="仿宋_GB2312"/>
          <w:b w:val="0"/>
          <w:sz w:val="32"/>
          <w:szCs w:val="32"/>
        </w:rPr>
        <w:t>因机构改革单位职能发生变化，绩效目标设置时需加强新变化、新形势下绩效指标设定的前瞻性</w:t>
      </w:r>
      <w:r>
        <w:rPr>
          <w:rFonts w:hint="eastAsia" w:ascii="Times New Roman" w:hAnsi="Times New Roman" w:eastAsia="仿宋_GB2312"/>
          <w:sz w:val="32"/>
          <w:szCs w:val="32"/>
          <w:highlight w:val="none"/>
          <w:lang w:eastAsia="zh-CN"/>
        </w:rPr>
        <w:t>。</w:t>
      </w:r>
      <w:r>
        <w:rPr>
          <w:rFonts w:hint="eastAsia" w:ascii="Times New Roman" w:hAnsi="Times New Roman" w:eastAsia="仿宋_GB2312"/>
          <w:b w:val="0"/>
          <w:bCs w:val="0"/>
          <w:sz w:val="32"/>
          <w:szCs w:val="32"/>
          <w:highlight w:val="none"/>
          <w:lang w:eastAsia="zh-CN"/>
        </w:rPr>
        <w:t>下一步改进措施：</w:t>
      </w:r>
      <w:r>
        <w:rPr>
          <w:rFonts w:hint="eastAsia" w:ascii="Times New Roman" w:hAnsi="Times New Roman" w:eastAsia="仿宋_GB2312"/>
          <w:sz w:val="32"/>
          <w:szCs w:val="32"/>
          <w:highlight w:val="none"/>
          <w:lang w:eastAsia="zh-CN"/>
        </w:rPr>
        <w:t>一是机构改革后，加强新成立部室在预算管理方面的沟通，提高预算编制的可控性；二是结合机构改革后单位的新职能，加强预算编制的准确性。</w:t>
      </w:r>
    </w:p>
    <w:p w14:paraId="106A0CD3">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r>
        <w:rPr>
          <w:rFonts w:hint="eastAsia" w:ascii="Times New Roman" w:hAnsi="Times New Roman" w:eastAsia="仿宋_GB2312"/>
          <w:sz w:val="32"/>
          <w:szCs w:val="32"/>
          <w:highlight w:val="none"/>
          <w:lang w:val="en-US" w:eastAsia="zh-CN"/>
        </w:rPr>
        <w:t>具体附</w:t>
      </w:r>
      <w:r>
        <w:rPr>
          <w:rFonts w:hint="eastAsia" w:ascii="Times New Roman" w:hAnsi="Times New Roman" w:eastAsia="仿宋_GB2312" w:cs="仿宋_GB2312"/>
          <w:b w:val="0"/>
          <w:bCs w:val="0"/>
          <w:color w:val="000000"/>
          <w:kern w:val="0"/>
          <w:sz w:val="32"/>
          <w:szCs w:val="32"/>
          <w:lang w:val="en-US" w:eastAsia="zh-CN" w:bidi="ar"/>
        </w:rPr>
        <w:t>项目支出绩效自评表。</w:t>
      </w:r>
    </w:p>
    <w:p w14:paraId="4DE0B222">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p>
    <w:p w14:paraId="57742048">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p>
    <w:p w14:paraId="6116819C">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p>
    <w:p w14:paraId="1DDFB9CF">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p>
    <w:p w14:paraId="67CE23D6">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p>
    <w:p w14:paraId="3477DB04">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p>
    <w:p w14:paraId="32BCA71C">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p>
    <w:p w14:paraId="2C2AC55C">
      <w:pPr>
        <w:rPr>
          <w:rFonts w:hint="eastAsia" w:ascii="Times New Roman" w:hAnsi="Times New Roman" w:eastAsia="仿宋_GB2312" w:cs="仿宋_GB2312"/>
          <w:b w:val="0"/>
          <w:bCs w:val="0"/>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br w:type="page"/>
      </w:r>
    </w:p>
    <w:p w14:paraId="0A3ABA3D">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sectPr>
          <w:pgSz w:w="11906" w:h="16838"/>
          <w:pgMar w:top="1440" w:right="1800" w:bottom="1440" w:left="1800" w:header="851" w:footer="992" w:gutter="0"/>
          <w:cols w:space="720" w:num="1"/>
          <w:docGrid w:type="lines" w:linePitch="312" w:charSpace="0"/>
        </w:sectPr>
      </w:pPr>
    </w:p>
    <w:tbl>
      <w:tblPr>
        <w:tblStyle w:val="8"/>
        <w:tblpPr w:leftFromText="180" w:rightFromText="180" w:vertAnchor="text" w:horzAnchor="page" w:tblpXSpec="center" w:tblpY="597"/>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589"/>
        <w:gridCol w:w="947"/>
        <w:gridCol w:w="1494"/>
        <w:gridCol w:w="683"/>
        <w:gridCol w:w="1013"/>
        <w:gridCol w:w="1147"/>
        <w:gridCol w:w="626"/>
        <w:gridCol w:w="613"/>
        <w:gridCol w:w="1266"/>
        <w:gridCol w:w="880"/>
        <w:gridCol w:w="1760"/>
        <w:gridCol w:w="1254"/>
        <w:gridCol w:w="1313"/>
      </w:tblGrid>
      <w:tr w14:paraId="7CFC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000" w:type="pct"/>
            <w:gridSpan w:val="14"/>
            <w:tcBorders>
              <w:top w:val="nil"/>
              <w:left w:val="nil"/>
              <w:bottom w:val="nil"/>
              <w:right w:val="nil"/>
            </w:tcBorders>
            <w:shd w:val="clear" w:color="auto" w:fill="auto"/>
            <w:vAlign w:val="center"/>
          </w:tcPr>
          <w:p w14:paraId="4D3B1AE4">
            <w:pPr>
              <w:keepNext w:val="0"/>
              <w:keepLines w:val="0"/>
              <w:widowControl/>
              <w:suppressLineNumbers w:val="0"/>
              <w:jc w:val="center"/>
              <w:textAlignment w:val="center"/>
              <w:rPr>
                <w:rFonts w:hint="eastAsia" w:ascii="Times New Roman" w:hAnsi="Times New Roman" w:eastAsia="宋体" w:cs="宋体"/>
                <w:b/>
                <w:bCs/>
                <w:i w:val="0"/>
                <w:iCs w:val="0"/>
                <w:color w:val="000000"/>
                <w:sz w:val="32"/>
                <w:szCs w:val="32"/>
                <w:u w:val="none"/>
              </w:rPr>
            </w:pPr>
            <w:r>
              <w:rPr>
                <w:rFonts w:hint="eastAsia" w:ascii="Times New Roman" w:hAnsi="Times New Roman" w:eastAsia="宋体" w:cs="宋体"/>
                <w:b/>
                <w:bCs/>
                <w:i w:val="0"/>
                <w:iCs w:val="0"/>
                <w:color w:val="000000"/>
                <w:kern w:val="0"/>
                <w:sz w:val="32"/>
                <w:szCs w:val="32"/>
                <w:u w:val="none"/>
                <w:lang w:val="en-US" w:eastAsia="zh-CN" w:bidi="ar"/>
              </w:rPr>
              <w:t>项目支出绩效自评表</w:t>
            </w:r>
          </w:p>
        </w:tc>
      </w:tr>
      <w:tr w14:paraId="1FE8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04E2230">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(2024年度)</w:t>
            </w:r>
          </w:p>
        </w:tc>
      </w:tr>
      <w:tr w14:paraId="78CC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5D848">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项目名称</w:t>
            </w:r>
          </w:p>
        </w:tc>
        <w:tc>
          <w:tcPr>
            <w:tcW w:w="458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472C3B7">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新疆商务厅信息网络平台建设及运维</w:t>
            </w:r>
          </w:p>
        </w:tc>
      </w:tr>
      <w:tr w14:paraId="0BC5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25402">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主管部门</w:t>
            </w:r>
          </w:p>
        </w:tc>
        <w:tc>
          <w:tcPr>
            <w:tcW w:w="18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134016">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新疆维吾尔自治区商务信息中心</w:t>
            </w:r>
          </w:p>
        </w:tc>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9179A">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实施单位</w:t>
            </w:r>
          </w:p>
        </w:tc>
        <w:tc>
          <w:tcPr>
            <w:tcW w:w="228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E3C8A">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新疆维吾尔自治区商务信息中心</w:t>
            </w:r>
          </w:p>
        </w:tc>
      </w:tr>
      <w:tr w14:paraId="276F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4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25F39">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项目资金</w:t>
            </w:r>
            <w:r>
              <w:rPr>
                <w:rFonts w:hint="eastAsia" w:ascii="Times New Roman" w:hAnsi="Times New Roman" w:eastAsia="宋体" w:cs="宋体"/>
                <w:b/>
                <w:bCs/>
                <w:i w:val="0"/>
                <w:iCs w:val="0"/>
                <w:color w:val="000000"/>
                <w:kern w:val="0"/>
                <w:sz w:val="18"/>
                <w:szCs w:val="18"/>
                <w:u w:val="none"/>
                <w:lang w:val="en-US" w:eastAsia="zh-CN" w:bidi="ar"/>
              </w:rPr>
              <w:br w:type="textWrapping"/>
            </w:r>
            <w:r>
              <w:rPr>
                <w:rFonts w:hint="eastAsia" w:ascii="Times New Roman" w:hAnsi="Times New Roman" w:eastAsia="宋体" w:cs="宋体"/>
                <w:b/>
                <w:bCs/>
                <w:i w:val="0"/>
                <w:iCs w:val="0"/>
                <w:color w:val="000000"/>
                <w:kern w:val="0"/>
                <w:sz w:val="18"/>
                <w:szCs w:val="18"/>
                <w:u w:val="none"/>
                <w:lang w:val="en-US" w:eastAsia="zh-CN" w:bidi="ar"/>
              </w:rPr>
              <w:t>（万元）</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5FE59">
            <w:pPr>
              <w:jc w:val="center"/>
              <w:rPr>
                <w:rFonts w:hint="eastAsia" w:ascii="Times New Roman" w:hAnsi="Times New Roman" w:eastAsia="宋体" w:cs="宋体"/>
                <w:b/>
                <w:bCs/>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8336">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年初预算数</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8C884">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全年预算数</w:t>
            </w:r>
          </w:p>
        </w:tc>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BB380">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全年执行数</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B4867">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分值</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0B2A1">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执行率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DC43">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得分</w:t>
            </w:r>
          </w:p>
        </w:tc>
      </w:tr>
      <w:tr w14:paraId="78A4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AAF01">
            <w:pPr>
              <w:jc w:val="center"/>
              <w:rPr>
                <w:rFonts w:hint="eastAsia" w:ascii="Times New Roman" w:hAnsi="Times New Roman" w:eastAsia="宋体" w:cs="宋体"/>
                <w:b/>
                <w:bCs/>
                <w:i w:val="0"/>
                <w:iCs w:val="0"/>
                <w:color w:val="000000"/>
                <w:sz w:val="18"/>
                <w:szCs w:val="18"/>
                <w:u w:val="none"/>
              </w:rPr>
            </w:pP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2637E">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年度资金总额</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9349">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20.00</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E2A7">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20.00</w:t>
            </w:r>
          </w:p>
        </w:tc>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DD484">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20.00</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00A21">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32470">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CE24">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10.00分</w:t>
            </w:r>
          </w:p>
        </w:tc>
      </w:tr>
      <w:tr w14:paraId="3DEA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6A3DA">
            <w:pPr>
              <w:jc w:val="center"/>
              <w:rPr>
                <w:rFonts w:hint="eastAsia" w:ascii="Times New Roman" w:hAnsi="Times New Roman" w:eastAsia="宋体" w:cs="宋体"/>
                <w:b/>
                <w:bCs/>
                <w:i w:val="0"/>
                <w:iCs w:val="0"/>
                <w:color w:val="000000"/>
                <w:sz w:val="18"/>
                <w:szCs w:val="18"/>
                <w:u w:val="none"/>
              </w:rPr>
            </w:pP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D1CBC">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其中：当年财政拨款</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B32C">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18.65</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3A894">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18.65</w:t>
            </w:r>
          </w:p>
        </w:tc>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D54FC">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18.65</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E6760">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88BF8">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D113">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r>
      <w:tr w14:paraId="6A16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4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E4D1C">
            <w:pPr>
              <w:jc w:val="center"/>
              <w:rPr>
                <w:rFonts w:hint="eastAsia" w:ascii="Times New Roman" w:hAnsi="Times New Roman" w:eastAsia="宋体" w:cs="宋体"/>
                <w:b/>
                <w:bCs/>
                <w:i w:val="0"/>
                <w:iCs w:val="0"/>
                <w:color w:val="000000"/>
                <w:sz w:val="18"/>
                <w:szCs w:val="18"/>
                <w:u w:val="none"/>
              </w:rPr>
            </w:pP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E46F1">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 xml:space="preserve">  其他资金</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B0B7">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1.35</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D570A">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1.35</w:t>
            </w:r>
          </w:p>
        </w:tc>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49F0A">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1.35</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6A2F">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5C4A6">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F707">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r>
      <w:tr w14:paraId="0154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84148">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年度总体目标</w:t>
            </w:r>
          </w:p>
        </w:tc>
        <w:tc>
          <w:tcPr>
            <w:tcW w:w="20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75B362">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预期目标</w:t>
            </w:r>
          </w:p>
        </w:tc>
        <w:tc>
          <w:tcPr>
            <w:tcW w:w="272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0882D0">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实际完成情况</w:t>
            </w:r>
          </w:p>
        </w:tc>
      </w:tr>
      <w:tr w14:paraId="2E1A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8F74">
            <w:pPr>
              <w:jc w:val="center"/>
              <w:rPr>
                <w:rFonts w:hint="eastAsia" w:ascii="Times New Roman" w:hAnsi="Times New Roman" w:eastAsia="宋体" w:cs="宋体"/>
                <w:b/>
                <w:bCs/>
                <w:i w:val="0"/>
                <w:iCs w:val="0"/>
                <w:color w:val="000000"/>
                <w:sz w:val="18"/>
                <w:szCs w:val="18"/>
                <w:u w:val="none"/>
              </w:rPr>
            </w:pPr>
          </w:p>
        </w:tc>
        <w:tc>
          <w:tcPr>
            <w:tcW w:w="20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5B1E92">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保障新疆商务厅信息网络平台建设及运维，夯实信息化基础，强化网络信息安全，提升信息化应用水平。</w:t>
            </w:r>
            <w:r>
              <w:rPr>
                <w:rFonts w:hint="eastAsia" w:ascii="Times New Roman" w:hAnsi="Times New Roman" w:eastAsia="宋体" w:cs="宋体"/>
                <w:i w:val="0"/>
                <w:iCs w:val="0"/>
                <w:color w:val="000000"/>
                <w:kern w:val="0"/>
                <w:sz w:val="18"/>
                <w:szCs w:val="18"/>
                <w:u w:val="none"/>
                <w:lang w:val="en-US" w:eastAsia="zh-CN" w:bidi="ar"/>
              </w:rPr>
              <w:br w:type="textWrapping"/>
            </w:r>
            <w:r>
              <w:rPr>
                <w:rFonts w:hint="eastAsia" w:ascii="Times New Roman" w:hAnsi="Times New Roman" w:eastAsia="宋体" w:cs="宋体"/>
                <w:i w:val="0"/>
                <w:iCs w:val="0"/>
                <w:color w:val="000000"/>
                <w:kern w:val="0"/>
                <w:sz w:val="18"/>
                <w:szCs w:val="18"/>
                <w:u w:val="none"/>
                <w:lang w:val="en-US" w:eastAsia="zh-CN" w:bidi="ar"/>
              </w:rPr>
              <w:t>目标一：做好商务厅门户网站运维，包括版面修改、专栏添加、数据整理等网站技术服务。</w:t>
            </w:r>
            <w:r>
              <w:rPr>
                <w:rFonts w:hint="eastAsia" w:ascii="Times New Roman" w:hAnsi="Times New Roman" w:eastAsia="宋体" w:cs="宋体"/>
                <w:i w:val="0"/>
                <w:iCs w:val="0"/>
                <w:color w:val="000000"/>
                <w:kern w:val="0"/>
                <w:sz w:val="18"/>
                <w:szCs w:val="18"/>
                <w:u w:val="none"/>
                <w:lang w:val="en-US" w:eastAsia="zh-CN" w:bidi="ar"/>
              </w:rPr>
              <w:br w:type="textWrapping"/>
            </w:r>
            <w:r>
              <w:rPr>
                <w:rFonts w:hint="eastAsia" w:ascii="Times New Roman" w:hAnsi="Times New Roman" w:eastAsia="宋体" w:cs="宋体"/>
                <w:i w:val="0"/>
                <w:iCs w:val="0"/>
                <w:color w:val="000000"/>
                <w:kern w:val="0"/>
                <w:sz w:val="18"/>
                <w:szCs w:val="18"/>
                <w:u w:val="none"/>
                <w:lang w:val="en-US" w:eastAsia="zh-CN" w:bidi="ar"/>
              </w:rPr>
              <w:t>目标二：强化网络安全防护能力，按照网络安全法等有关规定，完成信息系统等保一年测评一次；开展网络安全风险评估工作和商务厅门户网站运行监测，及时发现安全风险，以便及时消除。</w:t>
            </w:r>
            <w:r>
              <w:rPr>
                <w:rFonts w:hint="eastAsia" w:ascii="Times New Roman" w:hAnsi="Times New Roman" w:eastAsia="宋体" w:cs="宋体"/>
                <w:i w:val="0"/>
                <w:iCs w:val="0"/>
                <w:color w:val="000000"/>
                <w:kern w:val="0"/>
                <w:sz w:val="18"/>
                <w:szCs w:val="18"/>
                <w:u w:val="none"/>
                <w:lang w:val="en-US" w:eastAsia="zh-CN" w:bidi="ar"/>
              </w:rPr>
              <w:br w:type="textWrapping"/>
            </w:r>
            <w:r>
              <w:rPr>
                <w:rFonts w:hint="eastAsia" w:ascii="Times New Roman" w:hAnsi="Times New Roman" w:eastAsia="宋体" w:cs="宋体"/>
                <w:i w:val="0"/>
                <w:iCs w:val="0"/>
                <w:color w:val="000000"/>
                <w:kern w:val="0"/>
                <w:sz w:val="18"/>
                <w:szCs w:val="18"/>
                <w:u w:val="none"/>
                <w:lang w:val="en-US" w:eastAsia="zh-CN" w:bidi="ar"/>
              </w:rPr>
              <w:t>目标三：提升信息网络平台的运维水平。做好商务厅机关日常的软硬件维护；信息系统技术维护和机房的空调、消防、电源等运行环境的维护。</w:t>
            </w:r>
          </w:p>
        </w:tc>
        <w:tc>
          <w:tcPr>
            <w:tcW w:w="2720"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0078E5FA">
            <w:pPr>
              <w:keepNext w:val="0"/>
              <w:keepLines w:val="0"/>
              <w:widowControl/>
              <w:suppressLineNumbers w:val="0"/>
              <w:jc w:val="both"/>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保障了新疆商务厅信息网络平台建设及运维、信息化基础、网络信息安全，提升了整体信息化应用水平；充分发挥自治区商务厅门户网站综合平台功能，提升新疆商务领域的信息化水平；在网络安全重大节点做好安全保障和政务新媒体预警监测。做好商务厅机关日常的软硬件维护；信息系统技术维护和机房的空调、消防、电源等运行环境的维护。</w:t>
            </w:r>
          </w:p>
        </w:tc>
      </w:tr>
      <w:tr w14:paraId="7AFD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36DEA">
            <w:pPr>
              <w:jc w:val="center"/>
              <w:rPr>
                <w:rFonts w:hint="eastAsia" w:ascii="Times New Roman" w:hAnsi="Times New Roman" w:eastAsia="宋体" w:cs="宋体"/>
                <w:i w:val="0"/>
                <w:iCs w:val="0"/>
                <w:color w:val="000000"/>
                <w:sz w:val="18"/>
                <w:szCs w:val="18"/>
                <w:u w:val="none"/>
              </w:rPr>
            </w:pP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011F8">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一级指标</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AC5F8">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二级指标</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4E378">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三级指标</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3EE17">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权重</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EF8FB">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目标值</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48333">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业绩值</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929DA">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完成率</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2DE22">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指标得分</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935C7">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指标值设定依据</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082E5">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上年完成情况</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839EA">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赋分规则</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65117">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佐证资料</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D7C5A">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偏差原因分析及改进措施</w:t>
            </w:r>
          </w:p>
        </w:tc>
      </w:tr>
      <w:tr w14:paraId="6C6F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D3DA4">
            <w:pPr>
              <w:jc w:val="center"/>
              <w:rPr>
                <w:rFonts w:hint="eastAsia" w:ascii="Times New Roman" w:hAnsi="Times New Roman" w:eastAsia="宋体" w:cs="宋体"/>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81672">
            <w:pPr>
              <w:jc w:val="center"/>
              <w:rPr>
                <w:rFonts w:hint="eastAsia" w:ascii="Times New Roman" w:hAnsi="Times New Roman" w:eastAsia="宋体" w:cs="宋体"/>
                <w:b/>
                <w:bCs/>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85A87">
            <w:pPr>
              <w:jc w:val="center"/>
              <w:rPr>
                <w:rFonts w:hint="eastAsia" w:ascii="Times New Roman" w:hAnsi="Times New Roman" w:eastAsia="宋体" w:cs="宋体"/>
                <w:b/>
                <w:bCs/>
                <w:i w:val="0"/>
                <w:iCs w:val="0"/>
                <w:color w:val="000000"/>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23B15">
            <w:pPr>
              <w:jc w:val="center"/>
              <w:rPr>
                <w:rFonts w:hint="eastAsia" w:ascii="Times New Roman" w:hAnsi="Times New Roman" w:eastAsia="宋体" w:cs="宋体"/>
                <w:b/>
                <w:bCs/>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47729">
            <w:pPr>
              <w:jc w:val="center"/>
              <w:rPr>
                <w:rFonts w:hint="eastAsia" w:ascii="Times New Roman" w:hAnsi="Times New Roman" w:eastAsia="宋体" w:cs="宋体"/>
                <w:b/>
                <w:bCs/>
                <w:i w:val="0"/>
                <w:iCs w:val="0"/>
                <w:color w:val="000000"/>
                <w:sz w:val="18"/>
                <w:szCs w:val="18"/>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560A8">
            <w:pPr>
              <w:jc w:val="center"/>
              <w:rPr>
                <w:rFonts w:hint="eastAsia" w:ascii="Times New Roman" w:hAnsi="Times New Roman" w:eastAsia="宋体" w:cs="宋体"/>
                <w:b/>
                <w:bCs/>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D1252">
            <w:pPr>
              <w:jc w:val="center"/>
              <w:rPr>
                <w:rFonts w:hint="eastAsia" w:ascii="Times New Roman" w:hAnsi="Times New Roman" w:eastAsia="宋体" w:cs="宋体"/>
                <w:b/>
                <w:bCs/>
                <w:i w:val="0"/>
                <w:iCs w:val="0"/>
                <w:color w:val="000000"/>
                <w:sz w:val="18"/>
                <w:szCs w:val="1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A5156">
            <w:pPr>
              <w:jc w:val="center"/>
              <w:rPr>
                <w:rFonts w:hint="eastAsia" w:ascii="Times New Roman" w:hAnsi="Times New Roman"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86B72">
            <w:pPr>
              <w:jc w:val="center"/>
              <w:rPr>
                <w:rFonts w:hint="eastAsia" w:ascii="Times New Roman" w:hAnsi="Times New Roman" w:eastAsia="宋体" w:cs="宋体"/>
                <w:b/>
                <w:bCs/>
                <w:i w:val="0"/>
                <w:iCs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F0A79">
            <w:pPr>
              <w:jc w:val="center"/>
              <w:rPr>
                <w:rFonts w:hint="eastAsia" w:ascii="Times New Roman" w:hAnsi="Times New Roman" w:eastAsia="宋体" w:cs="宋体"/>
                <w:b/>
                <w:bCs/>
                <w:i w:val="0"/>
                <w:iCs w:val="0"/>
                <w:color w:val="000000"/>
                <w:sz w:val="18"/>
                <w:szCs w:val="18"/>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3122">
            <w:pPr>
              <w:jc w:val="center"/>
              <w:rPr>
                <w:rFonts w:hint="eastAsia" w:ascii="Times New Roman" w:hAnsi="Times New Roman" w:eastAsia="宋体" w:cs="宋体"/>
                <w:b/>
                <w:bCs/>
                <w:i w:val="0"/>
                <w:iCs w:val="0"/>
                <w:color w:val="000000"/>
                <w:sz w:val="18"/>
                <w:szCs w:val="18"/>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732E">
            <w:pPr>
              <w:jc w:val="center"/>
              <w:rPr>
                <w:rFonts w:hint="eastAsia" w:ascii="Times New Roman" w:hAnsi="Times New Roman" w:eastAsia="宋体" w:cs="宋体"/>
                <w:b/>
                <w:bCs/>
                <w:i w:val="0"/>
                <w:iCs w:val="0"/>
                <w:color w:val="000000"/>
                <w:sz w:val="18"/>
                <w:szCs w:val="18"/>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FE55B">
            <w:pPr>
              <w:jc w:val="center"/>
              <w:rPr>
                <w:rFonts w:hint="eastAsia" w:ascii="Times New Roman" w:hAnsi="Times New Roman" w:eastAsia="宋体" w:cs="宋体"/>
                <w:b/>
                <w:bCs/>
                <w:i w:val="0"/>
                <w:iCs w:val="0"/>
                <w:color w:val="000000"/>
                <w:sz w:val="18"/>
                <w:szCs w:val="18"/>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F321">
            <w:pPr>
              <w:jc w:val="center"/>
              <w:rPr>
                <w:rFonts w:hint="eastAsia" w:ascii="Times New Roman" w:hAnsi="Times New Roman" w:eastAsia="宋体" w:cs="宋体"/>
                <w:b/>
                <w:bCs/>
                <w:i w:val="0"/>
                <w:iCs w:val="0"/>
                <w:color w:val="000000"/>
                <w:sz w:val="18"/>
                <w:szCs w:val="18"/>
                <w:u w:val="none"/>
              </w:rPr>
            </w:pPr>
          </w:p>
        </w:tc>
      </w:tr>
      <w:tr w14:paraId="4E29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CCEA6">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年度绩效指标完成情况</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40F98">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产出指标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CD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数量指标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0D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厅机关全年软件、硬件维护次数</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7D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21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&gt;=700次/年</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05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&gt;=780次/年</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0B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6B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BE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历史标准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70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850</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DA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06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973E">
            <w:pPr>
              <w:jc w:val="center"/>
              <w:rPr>
                <w:rFonts w:hint="eastAsia" w:ascii="Times New Roman" w:hAnsi="Times New Roman" w:eastAsia="宋体" w:cs="宋体"/>
                <w:i w:val="0"/>
                <w:iCs w:val="0"/>
                <w:color w:val="000000"/>
                <w:sz w:val="18"/>
                <w:szCs w:val="18"/>
                <w:u w:val="none"/>
              </w:rPr>
            </w:pPr>
          </w:p>
        </w:tc>
      </w:tr>
      <w:tr w14:paraId="5EC7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3A06">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8BB38">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E3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数量指标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20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机房设备技术维护维修次数</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A6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89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&gt;=50次/年</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7F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&gt;=60次/年</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9F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15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DD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历史标准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A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56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8E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A90CB">
            <w:pPr>
              <w:jc w:val="center"/>
              <w:rPr>
                <w:rFonts w:hint="eastAsia" w:ascii="Times New Roman" w:hAnsi="Times New Roman" w:eastAsia="宋体" w:cs="宋体"/>
                <w:i w:val="0"/>
                <w:iCs w:val="0"/>
                <w:color w:val="000000"/>
                <w:sz w:val="18"/>
                <w:szCs w:val="18"/>
                <w:u w:val="none"/>
              </w:rPr>
            </w:pPr>
          </w:p>
        </w:tc>
      </w:tr>
      <w:tr w14:paraId="2FD3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D0983">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3CB9">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18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数量指标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F2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信创国产笔记本及配套软件采购数量</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28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DB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&lt;=5套</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D3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&lt;=5套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8E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B9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D0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计划标准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C4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40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E5B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8623">
            <w:pPr>
              <w:jc w:val="center"/>
              <w:rPr>
                <w:rFonts w:hint="eastAsia" w:ascii="Times New Roman" w:hAnsi="Times New Roman" w:eastAsia="宋体" w:cs="宋体"/>
                <w:i w:val="0"/>
                <w:iCs w:val="0"/>
                <w:color w:val="000000"/>
                <w:sz w:val="18"/>
                <w:szCs w:val="18"/>
                <w:u w:val="none"/>
              </w:rPr>
            </w:pPr>
          </w:p>
        </w:tc>
      </w:tr>
      <w:tr w14:paraId="13A3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C9527">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D3A74">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A97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质量指标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3D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软硬件故障排除率</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0C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F7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&gt;=90%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B7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&gt;=95%</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C7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2A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F8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历史标准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C4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88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7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C9FF">
            <w:pPr>
              <w:jc w:val="center"/>
              <w:rPr>
                <w:rFonts w:hint="eastAsia" w:ascii="Times New Roman" w:hAnsi="Times New Roman" w:eastAsia="宋体" w:cs="宋体"/>
                <w:i w:val="0"/>
                <w:iCs w:val="0"/>
                <w:color w:val="000000"/>
                <w:sz w:val="18"/>
                <w:szCs w:val="18"/>
                <w:u w:val="none"/>
              </w:rPr>
            </w:pPr>
          </w:p>
        </w:tc>
      </w:tr>
      <w:tr w14:paraId="6EA6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EBEE0">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87141">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94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质量指标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15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系统故障率</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206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BD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77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&lt;=3%</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73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781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39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历史标准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04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&lt;=5%</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3B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0AA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A14F">
            <w:pPr>
              <w:jc w:val="center"/>
              <w:rPr>
                <w:rFonts w:hint="eastAsia" w:ascii="Times New Roman" w:hAnsi="Times New Roman" w:eastAsia="宋体" w:cs="宋体"/>
                <w:i w:val="0"/>
                <w:iCs w:val="0"/>
                <w:color w:val="000000"/>
                <w:sz w:val="18"/>
                <w:szCs w:val="18"/>
                <w:u w:val="none"/>
              </w:rPr>
            </w:pPr>
          </w:p>
        </w:tc>
      </w:tr>
      <w:tr w14:paraId="54FB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7E888">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4029">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88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质量指标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0D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信创国产笔记本及配套软件验收合格率</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9B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B4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3C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3F0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CA7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FF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计划标准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FB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3E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64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3819">
            <w:pPr>
              <w:jc w:val="center"/>
              <w:rPr>
                <w:rFonts w:hint="eastAsia" w:ascii="Times New Roman" w:hAnsi="Times New Roman" w:eastAsia="宋体" w:cs="宋体"/>
                <w:i w:val="0"/>
                <w:iCs w:val="0"/>
                <w:color w:val="000000"/>
                <w:sz w:val="18"/>
                <w:szCs w:val="18"/>
                <w:u w:val="none"/>
              </w:rPr>
            </w:pPr>
          </w:p>
        </w:tc>
      </w:tr>
      <w:tr w14:paraId="665B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D2C7">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0F867">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6D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时效指标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AD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系统运行维护响应及时</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42A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A1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&lt;=2小时</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1F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&lt;=1小时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14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1D7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C7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历史标准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19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1小时</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78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45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0117">
            <w:pPr>
              <w:jc w:val="center"/>
              <w:rPr>
                <w:rFonts w:hint="eastAsia" w:ascii="Times New Roman" w:hAnsi="Times New Roman" w:eastAsia="宋体" w:cs="宋体"/>
                <w:i w:val="0"/>
                <w:iCs w:val="0"/>
                <w:color w:val="000000"/>
                <w:sz w:val="18"/>
                <w:szCs w:val="18"/>
                <w:u w:val="none"/>
              </w:rPr>
            </w:pPr>
          </w:p>
        </w:tc>
      </w:tr>
      <w:tr w14:paraId="5347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BC65">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AF7EA">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91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时效指标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14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系统故障修复处理时间及时</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1F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6B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&lt;=2天</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65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&lt;=1.5天</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95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34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AD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历史标准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45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1天</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AD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3D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4421">
            <w:pPr>
              <w:jc w:val="center"/>
              <w:rPr>
                <w:rFonts w:hint="eastAsia" w:ascii="Times New Roman" w:hAnsi="Times New Roman" w:eastAsia="宋体" w:cs="宋体"/>
                <w:i w:val="0"/>
                <w:iCs w:val="0"/>
                <w:color w:val="000000"/>
                <w:sz w:val="18"/>
                <w:szCs w:val="18"/>
                <w:u w:val="none"/>
              </w:rPr>
            </w:pPr>
          </w:p>
        </w:tc>
      </w:tr>
      <w:tr w14:paraId="6682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8361">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3137F">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0C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时效指标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B1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信创国产笔记本及配套软件安装效率</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35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93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&lt;=0.50天</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83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&lt;=0.5天</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64F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54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A3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计划标准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E9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9D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9E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C608">
            <w:pPr>
              <w:jc w:val="center"/>
              <w:rPr>
                <w:rFonts w:hint="eastAsia" w:ascii="Times New Roman" w:hAnsi="Times New Roman" w:eastAsia="宋体" w:cs="宋体"/>
                <w:i w:val="0"/>
                <w:iCs w:val="0"/>
                <w:color w:val="000000"/>
                <w:sz w:val="18"/>
                <w:szCs w:val="18"/>
                <w:u w:val="none"/>
              </w:rPr>
            </w:pPr>
          </w:p>
        </w:tc>
      </w:tr>
      <w:tr w14:paraId="4A9E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3B806">
            <w:pPr>
              <w:jc w:val="center"/>
              <w:rPr>
                <w:rFonts w:hint="eastAsia" w:ascii="Times New Roman" w:hAnsi="Times New Roman" w:eastAsia="宋体" w:cs="宋体"/>
                <w:b/>
                <w:bCs/>
                <w:i w:val="0"/>
                <w:iCs w:val="0"/>
                <w:color w:val="000000"/>
                <w:sz w:val="18"/>
                <w:szCs w:val="18"/>
                <w:u w:val="none"/>
              </w:rPr>
            </w:pP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F4506">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成本指标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33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经济成本指标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B9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国产笔记本及配套软件采购</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92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66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&lt;=5.672万元</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17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&lt;=5.672万元</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63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DF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6CA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预算支出标准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1A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FD0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1F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原始凭证</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D177">
            <w:pPr>
              <w:jc w:val="center"/>
              <w:rPr>
                <w:rFonts w:hint="eastAsia" w:ascii="Times New Roman" w:hAnsi="Times New Roman" w:eastAsia="宋体" w:cs="宋体"/>
                <w:i w:val="0"/>
                <w:iCs w:val="0"/>
                <w:color w:val="000000"/>
                <w:sz w:val="18"/>
                <w:szCs w:val="18"/>
                <w:u w:val="none"/>
              </w:rPr>
            </w:pPr>
          </w:p>
        </w:tc>
      </w:tr>
      <w:tr w14:paraId="414C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F7B35">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7976">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1B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经济成本指标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D7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机房消防设备更换及空调维保</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FB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D2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&lt;=4.82万元</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5B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&lt;=4.82万元</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F6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A7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D8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预算支出标准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536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FA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38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原始凭证</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128C">
            <w:pPr>
              <w:jc w:val="center"/>
              <w:rPr>
                <w:rFonts w:hint="eastAsia" w:ascii="Times New Roman" w:hAnsi="Times New Roman" w:eastAsia="宋体" w:cs="宋体"/>
                <w:i w:val="0"/>
                <w:iCs w:val="0"/>
                <w:color w:val="000000"/>
                <w:sz w:val="18"/>
                <w:szCs w:val="18"/>
                <w:u w:val="none"/>
              </w:rPr>
            </w:pPr>
          </w:p>
        </w:tc>
      </w:tr>
      <w:tr w14:paraId="3C7A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0B795">
            <w:pPr>
              <w:jc w:val="center"/>
              <w:rPr>
                <w:rFonts w:hint="eastAsia" w:ascii="Times New Roman" w:hAnsi="Times New Roman" w:eastAsia="宋体" w:cs="宋体"/>
                <w:b/>
                <w:bCs/>
                <w:i w:val="0"/>
                <w:iCs w:val="0"/>
                <w:color w:val="000000"/>
                <w:sz w:val="18"/>
                <w:szCs w:val="18"/>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49290">
            <w:pPr>
              <w:jc w:val="center"/>
              <w:rPr>
                <w:rFonts w:hint="eastAsia" w:ascii="Times New Roman" w:hAnsi="Times New Roman"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DC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经济成本指标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E5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软硬件日常维护</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D1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5E6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&lt;=9.51万元</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3D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&lt;=9.51万元</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42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6A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E0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预算支出标准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D0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43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按照完成比例赋分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72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原始凭证</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67C1">
            <w:pPr>
              <w:jc w:val="center"/>
              <w:rPr>
                <w:rFonts w:hint="eastAsia" w:ascii="Times New Roman" w:hAnsi="Times New Roman" w:eastAsia="宋体" w:cs="宋体"/>
                <w:i w:val="0"/>
                <w:iCs w:val="0"/>
                <w:color w:val="000000"/>
                <w:sz w:val="18"/>
                <w:szCs w:val="18"/>
                <w:u w:val="none"/>
              </w:rPr>
            </w:pPr>
          </w:p>
        </w:tc>
      </w:tr>
      <w:tr w14:paraId="4A95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58E84">
            <w:pPr>
              <w:jc w:val="center"/>
              <w:rPr>
                <w:rFonts w:hint="eastAsia" w:ascii="Times New Roman" w:hAnsi="Times New Roman" w:eastAsia="宋体" w:cs="宋体"/>
                <w:b/>
                <w:bCs/>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A34B">
            <w:pPr>
              <w:jc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效益指标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BC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社会效益指标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31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有效支持商务工作高质量发展，提高履职效益</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A2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02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有效提升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B7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有效提升</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9F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97C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73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历史标准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53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16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按评判等级赋分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81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说明材料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ED81">
            <w:pPr>
              <w:jc w:val="center"/>
              <w:rPr>
                <w:rFonts w:hint="eastAsia" w:ascii="Times New Roman" w:hAnsi="Times New Roman" w:eastAsia="宋体" w:cs="宋体"/>
                <w:i w:val="0"/>
                <w:iCs w:val="0"/>
                <w:color w:val="000000"/>
                <w:sz w:val="18"/>
                <w:szCs w:val="18"/>
                <w:u w:val="none"/>
              </w:rPr>
            </w:pPr>
          </w:p>
        </w:tc>
      </w:tr>
      <w:tr w14:paraId="3B3A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CA990">
            <w:pPr>
              <w:jc w:val="center"/>
              <w:rPr>
                <w:rFonts w:hint="eastAsia" w:ascii="Times New Roman" w:hAnsi="Times New Roman" w:eastAsia="宋体" w:cs="宋体"/>
                <w:b/>
                <w:bCs/>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A613">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满意度指标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BD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满意度指标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39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厅机关使用人员满意度</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58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BF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&gt;=85%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9E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&gt;=85%</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A8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AE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A7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历史标准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86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182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满意度赋分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59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工作资料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8EF9C">
            <w:pPr>
              <w:jc w:val="center"/>
              <w:rPr>
                <w:rFonts w:hint="eastAsia" w:ascii="Times New Roman" w:hAnsi="Times New Roman" w:eastAsia="宋体" w:cs="宋体"/>
                <w:i w:val="0"/>
                <w:iCs w:val="0"/>
                <w:color w:val="000000"/>
                <w:sz w:val="18"/>
                <w:szCs w:val="18"/>
                <w:u w:val="none"/>
              </w:rPr>
            </w:pPr>
          </w:p>
        </w:tc>
      </w:tr>
      <w:tr w14:paraId="25CD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276" w:type="pct"/>
            <w:gridSpan w:val="4"/>
            <w:tcBorders>
              <w:top w:val="single" w:color="000000" w:sz="4" w:space="0"/>
              <w:left w:val="single" w:color="000000" w:sz="4" w:space="0"/>
              <w:bottom w:val="single" w:color="000000" w:sz="4" w:space="0"/>
              <w:right w:val="nil"/>
            </w:tcBorders>
            <w:shd w:val="clear" w:color="auto" w:fill="auto"/>
            <w:vAlign w:val="center"/>
          </w:tcPr>
          <w:p w14:paraId="001D3511">
            <w:pPr>
              <w:keepNext w:val="0"/>
              <w:keepLines w:val="0"/>
              <w:widowControl/>
              <w:suppressLineNumbers w:val="0"/>
              <w:jc w:val="center"/>
              <w:textAlignment w:val="center"/>
              <w:rPr>
                <w:rFonts w:hint="eastAsia" w:ascii="Times New Roman" w:hAnsi="Times New Roman" w:eastAsia="宋体" w:cs="宋体"/>
                <w:b/>
                <w:bCs/>
                <w:i w:val="0"/>
                <w:iCs w:val="0"/>
                <w:color w:val="000000"/>
                <w:sz w:val="18"/>
                <w:szCs w:val="18"/>
                <w:u w:val="none"/>
              </w:rPr>
            </w:pPr>
            <w:r>
              <w:rPr>
                <w:rFonts w:hint="eastAsia" w:ascii="Times New Roman" w:hAnsi="Times New Roman" w:eastAsia="宋体" w:cs="宋体"/>
                <w:b/>
                <w:bCs/>
                <w:i w:val="0"/>
                <w:iCs w:val="0"/>
                <w:color w:val="000000"/>
                <w:kern w:val="0"/>
                <w:sz w:val="18"/>
                <w:szCs w:val="18"/>
                <w:u w:val="none"/>
                <w:lang w:val="en-US" w:eastAsia="zh-CN" w:bidi="ar"/>
              </w:rPr>
              <w:t>总分</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1280">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357" w:type="pct"/>
            <w:tcBorders>
              <w:top w:val="single" w:color="000000" w:sz="4" w:space="0"/>
              <w:left w:val="nil"/>
              <w:bottom w:val="single" w:color="000000" w:sz="4" w:space="0"/>
              <w:right w:val="single" w:color="000000" w:sz="4" w:space="0"/>
            </w:tcBorders>
            <w:shd w:val="clear" w:color="auto" w:fill="auto"/>
            <w:vAlign w:val="center"/>
          </w:tcPr>
          <w:p w14:paraId="547B730E">
            <w:pPr>
              <w:rPr>
                <w:rFonts w:hint="eastAsia" w:ascii="Times New Roman" w:hAnsi="Times New Roman" w:eastAsia="宋体" w:cs="宋体"/>
                <w:b/>
                <w:bCs/>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BA36">
            <w:pPr>
              <w:jc w:val="center"/>
              <w:rPr>
                <w:rFonts w:hint="eastAsia" w:ascii="Times New Roman" w:hAnsi="Times New Roman" w:eastAsia="宋体" w:cs="宋体"/>
                <w:i w:val="0"/>
                <w:iCs w:val="0"/>
                <w:color w:val="000000"/>
                <w:sz w:val="18"/>
                <w:szCs w:val="18"/>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3D65">
            <w:pPr>
              <w:jc w:val="center"/>
              <w:rPr>
                <w:rFonts w:hint="eastAsia" w:ascii="Times New Roman" w:hAnsi="Times New Roman" w:eastAsia="宋体" w:cs="宋体"/>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B8A8">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100分</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6E93">
            <w:pPr>
              <w:rPr>
                <w:rFonts w:hint="eastAsia" w:ascii="Times New Roman" w:hAnsi="Times New Roman" w:eastAsia="宋体" w:cs="宋体"/>
                <w:i w:val="0"/>
                <w:iCs w:val="0"/>
                <w:color w:val="000000"/>
                <w:sz w:val="18"/>
                <w:szCs w:val="18"/>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E5AA">
            <w:pPr>
              <w:rPr>
                <w:rFonts w:hint="eastAsia" w:ascii="Times New Roman" w:hAnsi="Times New Roman" w:eastAsia="宋体" w:cs="宋体"/>
                <w:i w:val="0"/>
                <w:iCs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9BB8">
            <w:pPr>
              <w:rPr>
                <w:rFonts w:hint="eastAsia" w:ascii="Times New Roman" w:hAnsi="Times New Roman" w:eastAsia="宋体" w:cs="宋体"/>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E15E">
            <w:pPr>
              <w:rPr>
                <w:rFonts w:hint="eastAsia" w:ascii="Times New Roman" w:hAnsi="Times New Roman" w:eastAsia="宋体" w:cs="宋体"/>
                <w:i w:val="0"/>
                <w:iCs w:val="0"/>
                <w:color w:val="000000"/>
                <w:sz w:val="18"/>
                <w:szCs w:val="18"/>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7293">
            <w:pPr>
              <w:rPr>
                <w:rFonts w:hint="eastAsia" w:ascii="Times New Roman" w:hAnsi="Times New Roman" w:eastAsia="宋体" w:cs="宋体"/>
                <w:i w:val="0"/>
                <w:iCs w:val="0"/>
                <w:color w:val="000000"/>
                <w:sz w:val="18"/>
                <w:szCs w:val="18"/>
                <w:u w:val="none"/>
              </w:rPr>
            </w:pPr>
          </w:p>
        </w:tc>
      </w:tr>
    </w:tbl>
    <w:p w14:paraId="1E7B3627">
      <w:pPr>
        <w:rPr>
          <w:rFonts w:hint="eastAsia" w:ascii="Times New Roman" w:hAnsi="Times New Roman" w:eastAsia="仿宋_GB2312" w:cs="仿宋_GB2312"/>
          <w:b w:val="0"/>
          <w:bCs w:val="0"/>
          <w:color w:val="000000"/>
          <w:kern w:val="0"/>
          <w:sz w:val="32"/>
          <w:szCs w:val="32"/>
          <w:lang w:val="en-US" w:eastAsia="zh-Hans" w:bidi="ar"/>
        </w:rPr>
        <w:sectPr>
          <w:pgSz w:w="16838" w:h="11906" w:orient="landscape"/>
          <w:pgMar w:top="1800" w:right="1440" w:bottom="1800" w:left="1440" w:header="851" w:footer="992" w:gutter="0"/>
          <w:cols w:space="720" w:num="1"/>
          <w:docGrid w:type="lines" w:linePitch="312" w:charSpace="0"/>
        </w:sectPr>
      </w:pPr>
    </w:p>
    <w:p w14:paraId="19E4E09D">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黑体" w:cs="宋体"/>
          <w:bCs/>
          <w:kern w:val="0"/>
          <w:sz w:val="32"/>
          <w:szCs w:val="32"/>
          <w:highlight w:val="none"/>
          <w:lang w:eastAsia="zh-CN"/>
        </w:rPr>
      </w:pPr>
      <w:r>
        <w:rPr>
          <w:rFonts w:hint="eastAsia" w:ascii="Times New Roman" w:hAnsi="Times New Roman" w:eastAsia="黑体" w:cs="宋体"/>
          <w:bCs/>
          <w:kern w:val="0"/>
          <w:sz w:val="32"/>
          <w:szCs w:val="32"/>
          <w:highlight w:val="none"/>
          <w:lang w:eastAsia="zh-CN"/>
        </w:rPr>
        <w:t>十</w:t>
      </w:r>
      <w:r>
        <w:rPr>
          <w:rFonts w:hint="eastAsia" w:ascii="Times New Roman" w:hAnsi="Times New Roman" w:eastAsia="黑体" w:cs="宋体"/>
          <w:bCs/>
          <w:kern w:val="0"/>
          <w:sz w:val="32"/>
          <w:szCs w:val="32"/>
          <w:highlight w:val="none"/>
          <w:lang w:val="en-US" w:eastAsia="zh-CN"/>
        </w:rPr>
        <w:t>二</w:t>
      </w:r>
      <w:r>
        <w:rPr>
          <w:rFonts w:hint="eastAsia" w:ascii="Times New Roman" w:hAnsi="Times New Roman" w:eastAsia="黑体" w:cs="宋体"/>
          <w:bCs/>
          <w:kern w:val="0"/>
          <w:sz w:val="32"/>
          <w:szCs w:val="32"/>
          <w:highlight w:val="none"/>
          <w:lang w:eastAsia="zh-CN"/>
        </w:rPr>
        <w:t>、其他需说明的事项</w:t>
      </w:r>
    </w:p>
    <w:p w14:paraId="4E82256A">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bCs/>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本单位2024年授予中小企业合同、授予小微企业合同金额均为0.00万元，主要原因为：根据《政府采购促进中小企业发展管理办法》第六条第（二）款，本单位当年政府采购货物属于“因确需使用不可替代专利、专有技术，基础设施限制”，只能从中小企业之外供应商处采购。</w:t>
      </w:r>
    </w:p>
    <w:p w14:paraId="74BB10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sz w:val="32"/>
          <w:szCs w:val="32"/>
          <w:highlight w:val="none"/>
        </w:rPr>
      </w:pPr>
      <w:bookmarkStart w:id="38" w:name="_Toc24143"/>
      <w:r>
        <w:rPr>
          <w:rFonts w:hint="eastAsia" w:ascii="Times New Roman" w:hAnsi="Times New Roman" w:eastAsia="黑体"/>
          <w:sz w:val="32"/>
          <w:szCs w:val="32"/>
          <w:highlight w:val="none"/>
        </w:rPr>
        <w:br w:type="page"/>
      </w:r>
      <w:bookmarkStart w:id="39" w:name="_Toc30038"/>
      <w:r>
        <w:rPr>
          <w:rFonts w:hint="eastAsia"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三</w:t>
      </w:r>
      <w:r>
        <w:rPr>
          <w:rFonts w:hint="eastAsia" w:ascii="Times New Roman" w:hAnsi="Times New Roman" w:eastAsia="黑体"/>
          <w:sz w:val="32"/>
          <w:szCs w:val="32"/>
          <w:highlight w:val="none"/>
        </w:rPr>
        <w:t>部分 专业名词解释</w:t>
      </w:r>
      <w:bookmarkEnd w:id="38"/>
      <w:bookmarkEnd w:id="39"/>
    </w:p>
    <w:p w14:paraId="36778A1A">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一、</w:t>
      </w:r>
      <w:r>
        <w:rPr>
          <w:rFonts w:hint="eastAsia" w:ascii="Times New Roman" w:hAnsi="Times New Roman" w:eastAsia="仿宋_GB2312"/>
          <w:b/>
          <w:bCs/>
          <w:sz w:val="32"/>
          <w:szCs w:val="32"/>
          <w:highlight w:val="none"/>
        </w:rPr>
        <w:t>财政拨款收入：</w:t>
      </w:r>
      <w:r>
        <w:rPr>
          <w:rFonts w:hint="eastAsia" w:ascii="Times New Roman" w:hAnsi="Times New Roman" w:eastAsia="仿宋_GB2312"/>
          <w:sz w:val="32"/>
          <w:szCs w:val="32"/>
          <w:highlight w:val="none"/>
        </w:rPr>
        <w:t>指同级财政当年拨付的资金。</w:t>
      </w:r>
    </w:p>
    <w:p w14:paraId="40C08EC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二、</w:t>
      </w:r>
      <w:r>
        <w:rPr>
          <w:rFonts w:hint="eastAsia" w:ascii="Times New Roman" w:hAnsi="Times New Roman" w:eastAsia="仿宋_GB2312"/>
          <w:b/>
          <w:bCs/>
          <w:sz w:val="32"/>
          <w:szCs w:val="32"/>
          <w:highlight w:val="none"/>
        </w:rPr>
        <w:t>上级补助收入：</w:t>
      </w:r>
      <w:r>
        <w:rPr>
          <w:rFonts w:hint="eastAsia" w:ascii="Times New Roman" w:hAnsi="Times New Roman" w:eastAsia="仿宋_GB2312"/>
          <w:sz w:val="32"/>
          <w:szCs w:val="32"/>
          <w:highlight w:val="none"/>
        </w:rPr>
        <w:t>指事业单位从主管部门和上级单位取得的非财政补助收入。</w:t>
      </w:r>
    </w:p>
    <w:p w14:paraId="343769E6">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三、</w:t>
      </w:r>
      <w:r>
        <w:rPr>
          <w:rFonts w:hint="eastAsia" w:ascii="Times New Roman" w:hAnsi="Times New Roman" w:eastAsia="仿宋_GB2312"/>
          <w:b/>
          <w:bCs/>
          <w:sz w:val="32"/>
          <w:szCs w:val="32"/>
          <w:highlight w:val="none"/>
        </w:rPr>
        <w:t>事业收入：</w:t>
      </w:r>
      <w:r>
        <w:rPr>
          <w:rFonts w:hint="eastAsia" w:ascii="Times New Roman" w:hAnsi="Times New Roman" w:eastAsia="仿宋_GB2312"/>
          <w:sz w:val="32"/>
          <w:szCs w:val="32"/>
          <w:highlight w:val="none"/>
        </w:rPr>
        <w:t>指事业单位开展专业业务活动及其辅助活动所取得的收入。</w:t>
      </w:r>
    </w:p>
    <w:p w14:paraId="1C42C812">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四、</w:t>
      </w:r>
      <w:r>
        <w:rPr>
          <w:rFonts w:hint="eastAsia" w:ascii="Times New Roman" w:hAnsi="Times New Roman" w:eastAsia="仿宋_GB2312"/>
          <w:b/>
          <w:bCs/>
          <w:sz w:val="32"/>
          <w:szCs w:val="32"/>
          <w:highlight w:val="none"/>
        </w:rPr>
        <w:t>经营收入：</w:t>
      </w:r>
      <w:r>
        <w:rPr>
          <w:rFonts w:hint="eastAsia" w:ascii="Times New Roman" w:hAnsi="Times New Roman" w:eastAsia="仿宋_GB2312"/>
          <w:sz w:val="32"/>
          <w:szCs w:val="32"/>
          <w:highlight w:val="none"/>
        </w:rPr>
        <w:t>指事业单位在专业业务活动及其辅助活动之外开展非独立核算经营活动取得的收入。</w:t>
      </w:r>
    </w:p>
    <w:p w14:paraId="4A01DB5E">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五、</w:t>
      </w:r>
      <w:r>
        <w:rPr>
          <w:rFonts w:hint="eastAsia" w:ascii="Times New Roman" w:hAnsi="Times New Roman" w:eastAsia="仿宋_GB2312"/>
          <w:b/>
          <w:bCs/>
          <w:sz w:val="32"/>
          <w:szCs w:val="32"/>
          <w:highlight w:val="none"/>
        </w:rPr>
        <w:t>附属单位上缴收入：</w:t>
      </w:r>
      <w:r>
        <w:rPr>
          <w:rFonts w:hint="eastAsia" w:ascii="Times New Roman" w:hAnsi="Times New Roman" w:eastAsia="仿宋_GB2312"/>
          <w:sz w:val="32"/>
          <w:szCs w:val="32"/>
          <w:highlight w:val="none"/>
        </w:rPr>
        <w:t>指事业单位附属的独立核算单位按有关规定上缴的收入。</w:t>
      </w:r>
    </w:p>
    <w:p w14:paraId="1575AC7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六、</w:t>
      </w:r>
      <w:r>
        <w:rPr>
          <w:rFonts w:hint="eastAsia" w:ascii="Times New Roman" w:hAnsi="Times New Roman" w:eastAsia="仿宋_GB2312"/>
          <w:b/>
          <w:bCs/>
          <w:sz w:val="32"/>
          <w:szCs w:val="32"/>
          <w:highlight w:val="none"/>
        </w:rPr>
        <w:t>其他收入：</w:t>
      </w:r>
      <w:r>
        <w:rPr>
          <w:rFonts w:hint="eastAsia" w:ascii="Times New Roman" w:hAnsi="Times New Roman" w:eastAsia="仿宋_GB2312"/>
          <w:sz w:val="32"/>
          <w:szCs w:val="32"/>
          <w:highlight w:val="none"/>
        </w:rPr>
        <w:t>指除上述“财政拨款收入”、“事业收入”、“经营收入”、“附属单位上缴收入”等之外取得的收入。</w:t>
      </w:r>
    </w:p>
    <w:p w14:paraId="6DC89D9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七、</w:t>
      </w:r>
      <w:r>
        <w:rPr>
          <w:rFonts w:hint="eastAsia" w:ascii="Times New Roman" w:hAnsi="Times New Roman" w:eastAsia="仿宋_GB2312"/>
          <w:b/>
          <w:bCs/>
          <w:sz w:val="32"/>
          <w:szCs w:val="32"/>
          <w:highlight w:val="none"/>
          <w:lang w:eastAsia="zh-CN"/>
        </w:rPr>
        <w:t>年初</w:t>
      </w:r>
      <w:r>
        <w:rPr>
          <w:rFonts w:hint="eastAsia" w:ascii="Times New Roman" w:hAnsi="Times New Roman" w:eastAsia="仿宋_GB2312"/>
          <w:b/>
          <w:bCs/>
          <w:sz w:val="32"/>
          <w:szCs w:val="32"/>
          <w:highlight w:val="none"/>
        </w:rPr>
        <w:t>结转和结余：</w:t>
      </w:r>
      <w:r>
        <w:rPr>
          <w:rFonts w:hint="eastAsia" w:ascii="Times New Roman" w:hAnsi="Times New Roman" w:eastAsia="仿宋_GB2312"/>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14:paraId="3951C24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八、</w:t>
      </w:r>
      <w:r>
        <w:rPr>
          <w:rFonts w:hint="eastAsia" w:ascii="Times New Roman" w:hAnsi="Times New Roman" w:eastAsia="仿宋_GB2312"/>
          <w:b/>
          <w:bCs/>
          <w:sz w:val="32"/>
          <w:szCs w:val="32"/>
          <w:highlight w:val="none"/>
        </w:rPr>
        <w:t>年末结转和结余：</w:t>
      </w:r>
      <w:r>
        <w:rPr>
          <w:rFonts w:hint="eastAsia" w:ascii="Times New Roman" w:hAnsi="Times New Roman" w:eastAsia="仿宋_GB2312"/>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2CDE57AA">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九、</w:t>
      </w:r>
      <w:r>
        <w:rPr>
          <w:rFonts w:hint="eastAsia" w:ascii="Times New Roman" w:hAnsi="Times New Roman" w:eastAsia="仿宋_GB2312"/>
          <w:b/>
          <w:bCs/>
          <w:sz w:val="32"/>
          <w:szCs w:val="32"/>
          <w:highlight w:val="none"/>
        </w:rPr>
        <w:t>基本支出：</w:t>
      </w:r>
      <w:r>
        <w:rPr>
          <w:rFonts w:hint="eastAsia" w:ascii="Times New Roman" w:hAnsi="Times New Roman" w:eastAsia="仿宋_GB2312"/>
          <w:sz w:val="32"/>
          <w:szCs w:val="32"/>
          <w:highlight w:val="none"/>
        </w:rPr>
        <w:t>指为保障机构正常运转、完成日常工作任务而发生的人员支出和公用支出。</w:t>
      </w:r>
    </w:p>
    <w:p w14:paraId="656F92E0">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十、</w:t>
      </w:r>
      <w:r>
        <w:rPr>
          <w:rFonts w:hint="eastAsia" w:ascii="Times New Roman" w:hAnsi="Times New Roman" w:eastAsia="仿宋_GB2312"/>
          <w:b/>
          <w:bCs/>
          <w:sz w:val="32"/>
          <w:szCs w:val="32"/>
          <w:highlight w:val="none"/>
        </w:rPr>
        <w:t>项目支出：</w:t>
      </w:r>
      <w:r>
        <w:rPr>
          <w:rFonts w:hint="eastAsia" w:ascii="Times New Roman" w:hAnsi="Times New Roman" w:eastAsia="仿宋_GB2312"/>
          <w:sz w:val="32"/>
          <w:szCs w:val="32"/>
          <w:highlight w:val="none"/>
        </w:rPr>
        <w:t>指在基本支出之外为完成特定行政任务和事业发展目标所发生的支出。</w:t>
      </w:r>
    </w:p>
    <w:p w14:paraId="2CA01EC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十一、</w:t>
      </w:r>
      <w:r>
        <w:rPr>
          <w:rFonts w:hint="eastAsia" w:ascii="Times New Roman" w:hAnsi="Times New Roman" w:eastAsia="仿宋_GB2312"/>
          <w:b/>
          <w:bCs/>
          <w:sz w:val="32"/>
          <w:szCs w:val="32"/>
          <w:highlight w:val="none"/>
        </w:rPr>
        <w:t>经营支出：</w:t>
      </w:r>
      <w:r>
        <w:rPr>
          <w:rFonts w:hint="eastAsia" w:ascii="Times New Roman" w:hAnsi="Times New Roman" w:eastAsia="仿宋_GB2312"/>
          <w:sz w:val="32"/>
          <w:szCs w:val="32"/>
          <w:highlight w:val="none"/>
        </w:rPr>
        <w:t>指事业单位在专业业务活动及其辅助活动之外开展非独立核算经营活动发生的支出。</w:t>
      </w:r>
    </w:p>
    <w:p w14:paraId="012AE864">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十二、</w:t>
      </w:r>
      <w:r>
        <w:rPr>
          <w:rFonts w:hint="eastAsia" w:ascii="Times New Roman" w:hAnsi="Times New Roman" w:eastAsia="仿宋_GB2312"/>
          <w:b/>
          <w:bCs/>
          <w:sz w:val="32"/>
          <w:szCs w:val="32"/>
          <w:highlight w:val="none"/>
        </w:rPr>
        <w:t>对附属单位补助支出：</w:t>
      </w:r>
      <w:r>
        <w:rPr>
          <w:rFonts w:hint="eastAsia" w:ascii="Times New Roman" w:hAnsi="Times New Roman" w:eastAsia="仿宋_GB2312"/>
          <w:sz w:val="32"/>
          <w:szCs w:val="32"/>
          <w:highlight w:val="none"/>
        </w:rPr>
        <w:t>指事业单位发生的用非财政预算资金对附属单位的补助支出。</w:t>
      </w:r>
    </w:p>
    <w:p w14:paraId="7B059F46">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b/>
          <w:bCs/>
          <w:sz w:val="32"/>
          <w:szCs w:val="32"/>
          <w:highlight w:val="none"/>
          <w:lang w:val="en-US" w:eastAsia="zh-CN"/>
        </w:rPr>
        <w:t>十三、</w:t>
      </w:r>
      <w:r>
        <w:rPr>
          <w:rFonts w:hint="eastAsia" w:ascii="Times New Roman" w:hAnsi="Times New Roman" w:eastAsia="仿宋_GB2312"/>
          <w:b/>
          <w:bCs/>
          <w:sz w:val="32"/>
          <w:szCs w:val="32"/>
          <w:highlight w:val="none"/>
        </w:rPr>
        <w:t>“三公”经费：</w:t>
      </w:r>
      <w:r>
        <w:rPr>
          <w:rFonts w:hint="eastAsia" w:ascii="Times New Roman" w:hAnsi="Times New Roman" w:eastAsia="仿宋_GB2312"/>
          <w:sz w:val="32"/>
          <w:szCs w:val="32"/>
          <w:highlight w:val="none"/>
        </w:rPr>
        <w:t>指用财政拨款安排的因公出国（境）费、公务用车购置及运行费和公务接待费。其中，因公出国（境）费反映单位公务出国（境）的</w:t>
      </w:r>
      <w:r>
        <w:rPr>
          <w:rFonts w:hint="eastAsia" w:ascii="Times New Roman" w:hAnsi="Times New Roman" w:eastAsia="仿宋_GB2312"/>
          <w:sz w:val="32"/>
          <w:szCs w:val="32"/>
          <w:highlight w:val="none"/>
          <w:lang w:eastAsia="zh-CN"/>
        </w:rPr>
        <w:t>国际旅费、国外城市间交通费、</w:t>
      </w:r>
      <w:r>
        <w:rPr>
          <w:rFonts w:hint="eastAsia" w:ascii="Times New Roman" w:hAnsi="Times New Roman" w:eastAsia="仿宋_GB2312"/>
          <w:sz w:val="32"/>
          <w:szCs w:val="32"/>
          <w:highlight w:val="none"/>
        </w:rPr>
        <w:t>住宿费、伙食费、培训费、</w:t>
      </w:r>
      <w:r>
        <w:rPr>
          <w:rFonts w:hint="eastAsia" w:ascii="Times New Roman" w:hAnsi="Times New Roman" w:eastAsia="仿宋_GB2312"/>
          <w:sz w:val="32"/>
          <w:szCs w:val="32"/>
          <w:highlight w:val="none"/>
          <w:lang w:eastAsia="zh-CN"/>
        </w:rPr>
        <w:t>公</w:t>
      </w:r>
      <w:r>
        <w:rPr>
          <w:rFonts w:hint="eastAsia" w:ascii="Times New Roman" w:hAnsi="Times New Roman" w:eastAsia="仿宋_GB2312"/>
          <w:sz w:val="32"/>
          <w:szCs w:val="32"/>
          <w:highlight w:val="none"/>
        </w:rPr>
        <w:t>杂费等支出；公务用车购置</w:t>
      </w:r>
      <w:r>
        <w:rPr>
          <w:rFonts w:hint="eastAsia" w:ascii="Times New Roman" w:hAnsi="Times New Roman" w:eastAsia="仿宋_GB2312"/>
          <w:sz w:val="32"/>
          <w:szCs w:val="32"/>
          <w:highlight w:val="none"/>
          <w:lang w:eastAsia="zh-CN"/>
        </w:rPr>
        <w:t>反映公务用车购置支出（含车辆购置税、牌照费）；</w:t>
      </w:r>
      <w:r>
        <w:rPr>
          <w:rFonts w:hint="eastAsia" w:ascii="Times New Roman" w:hAnsi="Times New Roman" w:eastAsia="仿宋_GB2312"/>
          <w:sz w:val="32"/>
          <w:szCs w:val="32"/>
          <w:highlight w:val="none"/>
        </w:rPr>
        <w:t>公务用车运行</w:t>
      </w:r>
      <w:r>
        <w:rPr>
          <w:rFonts w:hint="eastAsia" w:ascii="Times New Roman" w:hAnsi="Times New Roman" w:eastAsia="仿宋_GB2312"/>
          <w:sz w:val="32"/>
          <w:szCs w:val="32"/>
          <w:highlight w:val="none"/>
          <w:lang w:eastAsia="zh-CN"/>
        </w:rPr>
        <w:t>维护</w:t>
      </w:r>
      <w:r>
        <w:rPr>
          <w:rFonts w:hint="eastAsia" w:ascii="Times New Roman" w:hAnsi="Times New Roman" w:eastAsia="仿宋_GB2312"/>
          <w:sz w:val="32"/>
          <w:szCs w:val="32"/>
          <w:highlight w:val="none"/>
        </w:rPr>
        <w:t>费反映</w:t>
      </w:r>
      <w:r>
        <w:rPr>
          <w:rFonts w:hint="eastAsia" w:ascii="Times New Roman" w:hAnsi="Times New Roman" w:eastAsia="仿宋_GB2312"/>
          <w:sz w:val="32"/>
          <w:szCs w:val="32"/>
          <w:highlight w:val="none"/>
          <w:lang w:eastAsia="zh-CN"/>
        </w:rPr>
        <w:t>单位按规定保留的公务用车燃料费、维修费、</w:t>
      </w:r>
      <w:r>
        <w:rPr>
          <w:rFonts w:hint="eastAsia" w:ascii="Times New Roman" w:hAnsi="Times New Roman" w:eastAsia="仿宋_GB2312"/>
          <w:sz w:val="32"/>
          <w:szCs w:val="32"/>
          <w:highlight w:val="none"/>
        </w:rPr>
        <w:t>过路过桥费、保险费、安全奖励费用等支出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公务接待费反映单位按规定开支的各类公务接待（含外宾接待）</w:t>
      </w:r>
      <w:r>
        <w:rPr>
          <w:rFonts w:hint="eastAsia" w:ascii="Times New Roman" w:hAnsi="Times New Roman" w:eastAsia="仿宋_GB2312"/>
          <w:sz w:val="32"/>
          <w:szCs w:val="32"/>
          <w:highlight w:val="none"/>
          <w:lang w:eastAsia="zh-CN"/>
        </w:rPr>
        <w:t>费用</w:t>
      </w:r>
      <w:r>
        <w:rPr>
          <w:rFonts w:hint="eastAsia" w:ascii="Times New Roman" w:hAnsi="Times New Roman" w:eastAsia="仿宋_GB2312"/>
          <w:sz w:val="32"/>
          <w:szCs w:val="32"/>
          <w:highlight w:val="none"/>
        </w:rPr>
        <w:t>。</w:t>
      </w:r>
    </w:p>
    <w:p w14:paraId="2EDF2863">
      <w:pPr>
        <w:keepNext w:val="0"/>
        <w:keepLines w:val="0"/>
        <w:pageBreakBefore w:val="0"/>
        <w:widowControl w:val="0"/>
        <w:kinsoku/>
        <w:wordWrap/>
        <w:overflowPunct/>
        <w:topLinePunct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十四、</w:t>
      </w:r>
      <w:r>
        <w:rPr>
          <w:rFonts w:hint="eastAsia" w:ascii="Times New Roman" w:hAnsi="Times New Roman" w:eastAsia="仿宋_GB2312"/>
          <w:b/>
          <w:bCs/>
          <w:sz w:val="32"/>
          <w:szCs w:val="32"/>
          <w:highlight w:val="none"/>
        </w:rPr>
        <w:t>机关运行经费：</w:t>
      </w:r>
      <w:r>
        <w:rPr>
          <w:rFonts w:hint="eastAsia" w:ascii="Times New Roman" w:hAnsi="Times New Roman" w:eastAsia="仿宋_GB2312"/>
          <w:sz w:val="32"/>
          <w:szCs w:val="32"/>
          <w:highlight w:val="none"/>
        </w:rPr>
        <w:t>行政单位和参照公务员法管理的事业单位财政拨款基本支出中的公用经费支出。</w:t>
      </w:r>
    </w:p>
    <w:p w14:paraId="1206857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Times New Roman" w:hAnsi="Times New Roman" w:eastAsia="黑体"/>
          <w:sz w:val="32"/>
          <w:szCs w:val="32"/>
          <w:highlight w:val="none"/>
        </w:rPr>
      </w:pPr>
      <w:r>
        <w:rPr>
          <w:rFonts w:hint="eastAsia" w:ascii="Times New Roman" w:hAnsi="Times New Roman" w:eastAsia="仿宋_GB2312"/>
          <w:sz w:val="32"/>
          <w:szCs w:val="32"/>
          <w:highlight w:val="none"/>
        </w:rPr>
        <w:br w:type="page"/>
      </w:r>
      <w:bookmarkStart w:id="40" w:name="_Toc6831"/>
      <w:r>
        <w:rPr>
          <w:rFonts w:hint="eastAsia" w:ascii="Times New Roman" w:hAnsi="Times New Roman" w:eastAsia="黑体"/>
          <w:sz w:val="32"/>
          <w:szCs w:val="32"/>
          <w:highlight w:val="none"/>
        </w:rPr>
        <w:t>第四部分 部门决算报表（见附表）</w:t>
      </w:r>
      <w:bookmarkEnd w:id="40"/>
    </w:p>
    <w:p w14:paraId="72A422E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1" w:name="_Toc3845"/>
      <w:bookmarkStart w:id="42" w:name="_Toc6062"/>
      <w:r>
        <w:rPr>
          <w:rFonts w:hint="eastAsia" w:ascii="Times New Roman" w:hAnsi="Times New Roman" w:eastAsia="仿宋_GB2312" w:cs="仿宋_GB2312"/>
          <w:bCs/>
          <w:kern w:val="0"/>
          <w:sz w:val="32"/>
          <w:szCs w:val="32"/>
          <w:highlight w:val="none"/>
        </w:rPr>
        <w:t>一、《收入支出决算总表》</w:t>
      </w:r>
      <w:bookmarkEnd w:id="41"/>
      <w:bookmarkEnd w:id="42"/>
    </w:p>
    <w:p w14:paraId="3CF030D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3" w:name="_Toc11927"/>
      <w:bookmarkStart w:id="44" w:name="_Toc30364"/>
      <w:r>
        <w:rPr>
          <w:rFonts w:hint="eastAsia" w:ascii="Times New Roman" w:hAnsi="Times New Roman" w:eastAsia="仿宋_GB2312" w:cs="仿宋_GB2312"/>
          <w:bCs/>
          <w:kern w:val="0"/>
          <w:sz w:val="32"/>
          <w:szCs w:val="32"/>
          <w:highlight w:val="none"/>
        </w:rPr>
        <w:t>二、《收入决算表》</w:t>
      </w:r>
      <w:bookmarkEnd w:id="43"/>
      <w:bookmarkEnd w:id="44"/>
    </w:p>
    <w:p w14:paraId="5AE304B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5" w:name="_Toc7443"/>
      <w:bookmarkStart w:id="46" w:name="_Toc21304"/>
      <w:r>
        <w:rPr>
          <w:rFonts w:hint="eastAsia" w:ascii="Times New Roman" w:hAnsi="Times New Roman" w:eastAsia="仿宋_GB2312" w:cs="仿宋_GB2312"/>
          <w:bCs/>
          <w:kern w:val="0"/>
          <w:sz w:val="32"/>
          <w:szCs w:val="32"/>
          <w:highlight w:val="none"/>
        </w:rPr>
        <w:t>三、《支出决算表》</w:t>
      </w:r>
      <w:bookmarkEnd w:id="45"/>
      <w:bookmarkEnd w:id="46"/>
    </w:p>
    <w:p w14:paraId="54507FE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7" w:name="_Toc14238"/>
      <w:bookmarkStart w:id="48" w:name="_Toc24884"/>
      <w:r>
        <w:rPr>
          <w:rFonts w:hint="eastAsia" w:ascii="Times New Roman" w:hAnsi="Times New Roman" w:eastAsia="仿宋_GB2312" w:cs="仿宋_GB2312"/>
          <w:bCs/>
          <w:kern w:val="0"/>
          <w:sz w:val="32"/>
          <w:szCs w:val="32"/>
          <w:highlight w:val="none"/>
        </w:rPr>
        <w:t>四、《财政拨款收入支出决算总表》</w:t>
      </w:r>
      <w:bookmarkEnd w:id="47"/>
      <w:bookmarkEnd w:id="48"/>
    </w:p>
    <w:p w14:paraId="4CAD590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9" w:name="_Toc10347"/>
      <w:bookmarkStart w:id="50" w:name="_Toc16518"/>
      <w:r>
        <w:rPr>
          <w:rFonts w:hint="eastAsia" w:ascii="Times New Roman" w:hAnsi="Times New Roman" w:eastAsia="仿宋_GB2312" w:cs="仿宋_GB2312"/>
          <w:bCs/>
          <w:kern w:val="0"/>
          <w:sz w:val="32"/>
          <w:szCs w:val="32"/>
          <w:highlight w:val="none"/>
        </w:rPr>
        <w:t>五、《一般公共预算财政拨款支出决算表》</w:t>
      </w:r>
      <w:bookmarkEnd w:id="49"/>
      <w:bookmarkEnd w:id="50"/>
    </w:p>
    <w:p w14:paraId="1D16E22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51" w:name="_Toc5626"/>
      <w:bookmarkStart w:id="52" w:name="_Toc20514"/>
      <w:r>
        <w:rPr>
          <w:rFonts w:hint="eastAsia" w:ascii="Times New Roman" w:hAnsi="Times New Roman" w:eastAsia="仿宋_GB2312" w:cs="仿宋_GB2312"/>
          <w:bCs/>
          <w:kern w:val="0"/>
          <w:sz w:val="32"/>
          <w:szCs w:val="32"/>
          <w:highlight w:val="none"/>
        </w:rPr>
        <w:t>六、《一般公共预算财政拨款基本支出决算表》</w:t>
      </w:r>
      <w:bookmarkEnd w:id="51"/>
      <w:bookmarkEnd w:id="52"/>
    </w:p>
    <w:p w14:paraId="7C6EAC6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53" w:name="_Toc18055"/>
      <w:bookmarkStart w:id="54" w:name="_Toc5453"/>
      <w:r>
        <w:rPr>
          <w:rFonts w:hint="eastAsia" w:ascii="Times New Roman" w:hAnsi="Times New Roman" w:eastAsia="仿宋_GB2312" w:cs="仿宋_GB2312"/>
          <w:bCs/>
          <w:kern w:val="0"/>
          <w:sz w:val="32"/>
          <w:szCs w:val="32"/>
          <w:highlight w:val="none"/>
        </w:rPr>
        <w:t>七、《政府性基金预算财政拨款收入支出决算表》</w:t>
      </w:r>
      <w:bookmarkEnd w:id="53"/>
      <w:bookmarkEnd w:id="54"/>
    </w:p>
    <w:p w14:paraId="0AD6022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55" w:name="_Toc10719"/>
      <w:r>
        <w:rPr>
          <w:rFonts w:hint="eastAsia" w:ascii="Times New Roman" w:hAnsi="Times New Roman" w:eastAsia="仿宋_GB2312" w:cs="仿宋_GB2312"/>
          <w:bCs/>
          <w:kern w:val="0"/>
          <w:sz w:val="32"/>
          <w:szCs w:val="32"/>
          <w:highlight w:val="none"/>
        </w:rPr>
        <w:t>八、《</w:t>
      </w:r>
      <w:r>
        <w:rPr>
          <w:rFonts w:hint="eastAsia" w:ascii="Times New Roman" w:hAnsi="Times New Roman" w:eastAsia="仿宋_GB2312" w:cs="仿宋_GB2312"/>
          <w:bCs/>
          <w:kern w:val="0"/>
          <w:sz w:val="32"/>
          <w:szCs w:val="32"/>
          <w:highlight w:val="none"/>
          <w:lang w:eastAsia="zh-CN"/>
        </w:rPr>
        <w:t>国有资本经营</w:t>
      </w:r>
      <w:r>
        <w:rPr>
          <w:rFonts w:hint="eastAsia" w:ascii="Times New Roman" w:hAnsi="Times New Roman" w:eastAsia="仿宋_GB2312" w:cs="仿宋_GB2312"/>
          <w:bCs/>
          <w:kern w:val="0"/>
          <w:sz w:val="32"/>
          <w:szCs w:val="32"/>
          <w:highlight w:val="none"/>
        </w:rPr>
        <w:t>预算财政拨款收入支出决算表》</w:t>
      </w:r>
      <w:bookmarkEnd w:id="55"/>
    </w:p>
    <w:p w14:paraId="33B3A2E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56" w:name="_Toc18861"/>
      <w:bookmarkStart w:id="57" w:name="_Toc29106"/>
      <w:bookmarkStart w:id="58" w:name="_Toc32663"/>
      <w:r>
        <w:rPr>
          <w:rFonts w:hint="eastAsia" w:ascii="Times New Roman" w:hAnsi="Times New Roman" w:eastAsia="仿宋_GB2312" w:cs="仿宋_GB2312"/>
          <w:bCs/>
          <w:kern w:val="0"/>
          <w:sz w:val="32"/>
          <w:szCs w:val="32"/>
          <w:highlight w:val="none"/>
          <w:lang w:val="en-US" w:eastAsia="zh-CN"/>
        </w:rPr>
        <w:t>九</w:t>
      </w:r>
      <w:r>
        <w:rPr>
          <w:rFonts w:hint="eastAsia" w:ascii="Times New Roman" w:hAnsi="Times New Roman" w:eastAsia="仿宋_GB2312" w:cs="仿宋_GB2312"/>
          <w:bCs/>
          <w:kern w:val="0"/>
          <w:sz w:val="32"/>
          <w:szCs w:val="32"/>
          <w:highlight w:val="none"/>
        </w:rPr>
        <w:t>、《财政拨款“三公”经费支出决算表》</w:t>
      </w:r>
      <w:bookmarkEnd w:id="56"/>
      <w:bookmarkEnd w:id="57"/>
      <w:bookmarkEnd w:id="58"/>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25F342-2E55-4A7B-A250-191E108459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CF3D4DAD-34A9-400F-B5BF-D61DC3B5C99E}"/>
  </w:font>
  <w:font w:name="仿宋_GB2312">
    <w:panose1 w:val="02010609030101010101"/>
    <w:charset w:val="86"/>
    <w:family w:val="modern"/>
    <w:pitch w:val="default"/>
    <w:sig w:usb0="00000001" w:usb1="080E0000" w:usb2="00000000" w:usb3="00000000" w:csb0="00040000" w:csb1="00000000"/>
    <w:embedRegular r:id="rId3" w:fontKey="{D3830550-311B-46A4-B903-E1FBDCF5CA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8F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4CC07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44CC07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F73D26"/>
    <w:rsid w:val="034D4FEF"/>
    <w:rsid w:val="03DE0026"/>
    <w:rsid w:val="043E5B56"/>
    <w:rsid w:val="06792773"/>
    <w:rsid w:val="06CC7325"/>
    <w:rsid w:val="09A729D8"/>
    <w:rsid w:val="0A7B4867"/>
    <w:rsid w:val="0AC260D6"/>
    <w:rsid w:val="0B8C3ECC"/>
    <w:rsid w:val="0C3613A3"/>
    <w:rsid w:val="0C7227A7"/>
    <w:rsid w:val="0DCA6EF7"/>
    <w:rsid w:val="0E4B1576"/>
    <w:rsid w:val="11E15093"/>
    <w:rsid w:val="120E0809"/>
    <w:rsid w:val="120F5268"/>
    <w:rsid w:val="1875698D"/>
    <w:rsid w:val="19071D6C"/>
    <w:rsid w:val="1B3726EA"/>
    <w:rsid w:val="1C317E4F"/>
    <w:rsid w:val="1C472464"/>
    <w:rsid w:val="1DAF458D"/>
    <w:rsid w:val="1E086ACE"/>
    <w:rsid w:val="1EAA4A5F"/>
    <w:rsid w:val="1F040613"/>
    <w:rsid w:val="1F587A0B"/>
    <w:rsid w:val="2064678E"/>
    <w:rsid w:val="20DD6197"/>
    <w:rsid w:val="21F317F2"/>
    <w:rsid w:val="2241392C"/>
    <w:rsid w:val="23BC04D2"/>
    <w:rsid w:val="25275618"/>
    <w:rsid w:val="27CF2642"/>
    <w:rsid w:val="282459E2"/>
    <w:rsid w:val="2A053397"/>
    <w:rsid w:val="2A444FB1"/>
    <w:rsid w:val="2A6064E2"/>
    <w:rsid w:val="2BA9200B"/>
    <w:rsid w:val="2D1136DF"/>
    <w:rsid w:val="2DAE0E44"/>
    <w:rsid w:val="2FD27414"/>
    <w:rsid w:val="313F1D52"/>
    <w:rsid w:val="318029AB"/>
    <w:rsid w:val="31C63837"/>
    <w:rsid w:val="326F0A17"/>
    <w:rsid w:val="34623382"/>
    <w:rsid w:val="36402B0E"/>
    <w:rsid w:val="36CF2454"/>
    <w:rsid w:val="384E3233"/>
    <w:rsid w:val="387D511A"/>
    <w:rsid w:val="3914510A"/>
    <w:rsid w:val="3B1220C9"/>
    <w:rsid w:val="3D5275AC"/>
    <w:rsid w:val="3EA7725F"/>
    <w:rsid w:val="40834692"/>
    <w:rsid w:val="423A32B2"/>
    <w:rsid w:val="440F0BAF"/>
    <w:rsid w:val="464B7E04"/>
    <w:rsid w:val="46901EEE"/>
    <w:rsid w:val="469C74D2"/>
    <w:rsid w:val="47445515"/>
    <w:rsid w:val="48E21116"/>
    <w:rsid w:val="49C97D5C"/>
    <w:rsid w:val="4AE426AE"/>
    <w:rsid w:val="4B4C0111"/>
    <w:rsid w:val="4C6C751F"/>
    <w:rsid w:val="4D730311"/>
    <w:rsid w:val="505A358E"/>
    <w:rsid w:val="50DB5F45"/>
    <w:rsid w:val="514B1DEB"/>
    <w:rsid w:val="52F92565"/>
    <w:rsid w:val="55861E54"/>
    <w:rsid w:val="55DA564E"/>
    <w:rsid w:val="56E07045"/>
    <w:rsid w:val="583059FA"/>
    <w:rsid w:val="587E6212"/>
    <w:rsid w:val="58D10A34"/>
    <w:rsid w:val="59973ABF"/>
    <w:rsid w:val="59DE3233"/>
    <w:rsid w:val="5A74678C"/>
    <w:rsid w:val="5AFC6609"/>
    <w:rsid w:val="5FA17648"/>
    <w:rsid w:val="613409CB"/>
    <w:rsid w:val="61A46A97"/>
    <w:rsid w:val="61A570C7"/>
    <w:rsid w:val="61D429F9"/>
    <w:rsid w:val="62DD7D21"/>
    <w:rsid w:val="63D44EC2"/>
    <w:rsid w:val="65D97752"/>
    <w:rsid w:val="664C500C"/>
    <w:rsid w:val="673C57BD"/>
    <w:rsid w:val="6773145F"/>
    <w:rsid w:val="68684FE2"/>
    <w:rsid w:val="68DB0208"/>
    <w:rsid w:val="69846A0E"/>
    <w:rsid w:val="69AD798C"/>
    <w:rsid w:val="6B68175F"/>
    <w:rsid w:val="6B8B5C99"/>
    <w:rsid w:val="6BE00A0E"/>
    <w:rsid w:val="6CE33F65"/>
    <w:rsid w:val="6E0F7A08"/>
    <w:rsid w:val="6E801ABC"/>
    <w:rsid w:val="71473612"/>
    <w:rsid w:val="718F7F65"/>
    <w:rsid w:val="73423603"/>
    <w:rsid w:val="73DE4104"/>
    <w:rsid w:val="73FB6630"/>
    <w:rsid w:val="74CE04EC"/>
    <w:rsid w:val="74E76DCD"/>
    <w:rsid w:val="76660D7C"/>
    <w:rsid w:val="76CF72D3"/>
    <w:rsid w:val="775E28F5"/>
    <w:rsid w:val="77ED6F44"/>
    <w:rsid w:val="78B87A58"/>
    <w:rsid w:val="795A0A34"/>
    <w:rsid w:val="79FB30B5"/>
    <w:rsid w:val="7A0D3BC7"/>
    <w:rsid w:val="7A3A3CDB"/>
    <w:rsid w:val="7EAC4FE1"/>
    <w:rsid w:val="7ED669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4723</Words>
  <Characters>5315</Characters>
  <Lines>0</Lines>
  <Paragraphs>0</Paragraphs>
  <TotalTime>6</TotalTime>
  <ScaleCrop>false</ScaleCrop>
  <LinksUpToDate>false</LinksUpToDate>
  <CharactersWithSpaces>5325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cp:lastModifiedBy>
  <cp:lastPrinted>2025-08-26T04:08:00Z</cp:lastPrinted>
  <dcterms:modified xsi:type="dcterms:W3CDTF">2025-08-27T04:27:03Z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7304D5D7EC7647B2A415ACC9FE912C7B_13</vt:lpwstr>
  </property>
  <property fmtid="{D5CDD505-2E9C-101B-9397-08002B2CF9AE}" pid="4" name="KSOTemplateDocerSaveRecord">
    <vt:lpwstr>eyJoZGlkIjoiMWEwMzJhNzU1ZDBkN2Y0OWYxMGMxOGY0MmNhNDk1MjUiLCJ1c2VySWQiOiI2NDk5MDUzNTgifQ==</vt:lpwstr>
  </property>
</Properties>
</file>