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hint="default" w:ascii="Times New Roman" w:hAnsi="Times New Roman" w:eastAsia="宋体" w:cs="Times New Roman"/>
          <w:sz w:val="32"/>
          <w:szCs w:val="32"/>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widowControl/>
        <w:spacing w:before="0" w:beforeLines="0" w:beforeAutospacing="0" w:after="0" w:afterLines="0" w:afterAutospacing="0" w:line="240" w:lineRule="auto"/>
        <w:jc w:val="left"/>
        <w:rPr>
          <w:rFonts w:hint="default" w:ascii="Times New Roman" w:hAnsi="Times New Roman" w:eastAsia="宋体" w:cs="Times New Roman"/>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20" w:lineRule="exact"/>
        <w:jc w:val="center"/>
        <w:textAlignment w:val="auto"/>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 w:val="0"/>
          <w:sz w:val="44"/>
          <w:szCs w:val="44"/>
        </w:rPr>
        <w:t>新疆维吾尔自治区商务厅</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20" w:lineRule="exact"/>
        <w:jc w:val="center"/>
        <w:textAlignment w:val="auto"/>
        <w:outlineLvl w:val="0"/>
        <w:rPr>
          <w:rFonts w:hint="default" w:ascii="Times New Roman" w:hAnsi="Times New Roman" w:eastAsia="方正小标宋简体" w:cs="Times New Roman"/>
          <w:sz w:val="44"/>
          <w:szCs w:val="44"/>
        </w:rPr>
      </w:pPr>
      <w:r>
        <w:rPr>
          <w:rFonts w:hint="default" w:ascii="Times New Roman" w:hAnsi="Times New Roman" w:eastAsia="方正小标宋简体" w:cs="Times New Roman"/>
          <w:b w:val="0"/>
          <w:sz w:val="44"/>
          <w:szCs w:val="44"/>
        </w:rPr>
        <w:t>2025年度部门决算公开说明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eastAsia="方正小标宋简体" w:cs="Times New Roman"/>
          <w:b w:val="0"/>
          <w:sz w:val="44"/>
          <w:szCs w:val="44"/>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第一部分</w:t>
      </w:r>
      <w:r>
        <w:rPr>
          <w:rFonts w:hint="default" w:ascii="Times New Roman" w:hAnsi="Times New Roman" w:eastAsia="仿宋_GB2312" w:cs="Times New Roman"/>
          <w:b/>
          <w:sz w:val="32"/>
          <w:szCs w:val="32"/>
          <w:lang w:val="en-US" w:eastAsia="zh-CN"/>
        </w:rPr>
        <w:t xml:space="preserve"> </w:t>
      </w:r>
      <w:r>
        <w:rPr>
          <w:rFonts w:hint="default" w:ascii="Times New Roman" w:hAnsi="Times New Roman" w:eastAsia="仿宋_GB2312" w:cs="Times New Roman"/>
          <w:b/>
          <w:sz w:val="32"/>
          <w:szCs w:val="32"/>
        </w:rPr>
        <w:t>部门概况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二、机构设置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第一部分</w:t>
      </w:r>
      <w:r>
        <w:rPr>
          <w:rFonts w:hint="default" w:ascii="Times New Roman" w:hAnsi="Times New Roman" w:eastAsia="黑体" w:cs="Times New Roman"/>
          <w:b w:val="0"/>
          <w:sz w:val="32"/>
          <w:szCs w:val="32"/>
          <w:lang w:val="en-US" w:eastAsia="zh-CN"/>
        </w:rPr>
        <w:t xml:space="preserve"> </w:t>
      </w:r>
      <w:r>
        <w:rPr>
          <w:rFonts w:hint="default" w:ascii="Times New Roman" w:hAnsi="Times New Roman" w:eastAsia="黑体" w:cs="Times New Roman"/>
          <w:b w:val="0"/>
          <w:sz w:val="32"/>
          <w:szCs w:val="32"/>
        </w:rPr>
        <w:t>部门概况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sz w:val="32"/>
          <w:szCs w:val="32"/>
        </w:rPr>
        <w:t>新疆维吾尔自治区商务厅是自治区人民政府组成部门，为正厅级，挂中国（新疆）自由贸易试验区工作办公室牌子。负责贯彻落实党中央关于商务工作的方针政策、决策部署和自治区党委工作要求，把坚持和加强党对商务工作的集中统一领导落实到履行职责过程中</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二、机构设置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从部门决算单位构成看，新疆维吾尔自治区商务厅部门决算包括：新疆维吾尔自治区商务厅（本级）决算及所属单位决算。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sz w:val="32"/>
          <w:szCs w:val="32"/>
        </w:rPr>
        <w:t>纳入新疆维吾尔自治区商务厅2025年度部门决算编制范围的下属预算单位包括：新疆维吾尔自治区商务厅机关服务中心，新疆维吾尔自治区商务厅（本级），新疆国际博览事务局，新疆维吾尔自治区口岸发展促进中心，新疆维吾尔自治区口岸管理办公室，新疆维吾尔自治区投资贸易促进中心</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2025年度收入总计359,191.38万元，其中：本年收入合计359,012.46万元，使用非财政拨款结余（含专用结余）0.00万元，年初结转和结余178.91万元。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2025年度支出总计359,191.38万元，其中：本年支出合计359,070.16万元，结余分配0.00万元，年末结转和结余121.22万元。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收入支出总体与上年相比，增加339,999.41万元，增长1,771.57%，主要原因是：新疆维吾尔自治区商务厅（本级）年中追加自治区政府肉类储备（增加）、中国（新疆)自由贸易试验区建设工作经费、新疆经贸交流工作组随团出访经费等25个项目346,951.79万元，较上年18个项目3,106.11万元增加343,845.68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收入359,012.46万元，其中：财政拨款收入358,828.60万元,占99.95%；上级补助收入0.00万元,占0.00%；事业收入0.00万元，占0.00%；经营收入0.00万元,占0.00%；附属单位上缴收入0.00万元，占0.00%；其他收入183.86万元，占0.05%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本年支出359,070.16万元，其中：基本支出9,048.42万元，占2.52%；项目支出350,021.73万元，占97.48%；上缴上级支出0.00万元，占0.00%；经营支出0.00万元，占0.00%；对附属单位补助支出0.00万元，占0.00%。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财政拨款收入总计358,967.14万元，其中：年初财政拨款结转和结余138.55万元，本年财政拨款收入358,828.60万元。财政拨款支出总计358,967.14万元，其中：年末财政拨款结转和结余118.96万元，本年财政拨款支出358,848.18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财政拨款收入支出总体与上年相比，增加340,517.07万元，增长1,845.61%，主要原因是：新疆维吾尔自治区商务厅（本级）年中追加自治区政府肉类储备（增加）、中国（新疆)自由贸易试验区建设工作经费、新疆经贸交流工作组随团出访经费等25个项目346,951.79万元，较上年18个项目3,106.11万元增加343,845.68万元。与年初预算相比，年初预算数9,062.71万元，决算数358,967.14万元，预决算差异率3,860.92%，主要原因是：一是新疆维吾尔自治区商务厅（本级）年中追加自治区政府肉类储备（增加）、2025年中国（新疆）自由贸易试验区建设工作经费、新疆经贸交流工作组随团出访经费等25个项目346,951.79万元及调增基本工资、驻村工作经费、丧葬费抚恤金等基本支出1,253.68万元；二是新疆国际博览事务局年中追加2025年（中国）亚欧商品贸易博览会疆内棉花和纺织服装企业参展补贴、因公出访土库曼斯坦经费、第八届中国—亚欧博览会经费等4个项目986.83万元及调增基本工资、驻村工作经费、年度考核奖等基本支出180.93万元；三是新疆维吾尔自治区口岸发展促进中心年中追加中国（新疆）国际贸易“单一窗口”平台建设项目经费300.00万元及调增基本工资等基本支出33.13万元；四是新疆维吾尔自治区商务厅机关服务中心根据自治区新党编委〔2024〕79号文件，原来自收自支的35名人员纳入全额预算管理，年中追加基本工资等人员经费207.12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按照党中央、国务院关于党政机关习惯过紧日子的有关要求，厉行节约办一切事业，严控一般性支出。同时坚持有保有压，优化支出结构，提高资金使用效率，合理保障扩内需促消费、对外贸易稳中提质、2025商博会等重点支出，体现在有关支出科目中。</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2"/>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按照支出功能分类，商业服务业等支出（类）商业流通事务（款）其他商业流通事务支出（项）的支出占本年财政拨款支出总额的比重最高，2025年度决算数为43,889.47万元，占比12.23%，主要用于商务领域消费品以旧换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一般公共预算财政拨款支出58,848.18万元，占本年支出合计的16.39%。与上年相比，增加40,769.74万元，增长225.52%，主要原因是：2025年新增自治区政府肉类储备（增加）、2025年中国（新疆）自由贸易试验区建设工作经费、新疆经贸交流工作组随团出访经费等25个项目346,951.79万元，较2024年18个项目3,106.11万元增加343,845.68万元。与年初预算相比，年初预算数9,062.71万元，决算数58,848.18万元，预决算差异率549.34%，主要原因是：一是新疆维吾尔自治区商务厅（本级）年中追加自治区政府肉类储备（增加）、2025年中国（新疆）自由贸易试验区建设工作经费、新疆经贸交流工作组随团出访经费等25个项目346,951.79万元及调增基本工资、驻村工作经费、丧葬费抚恤金等基本支出1,253.68万元；二是新疆国际博览事务局年中追加2025年（中国）亚欧商品贸易博览会疆内棉花和纺织服装企业参展补贴、因公出访土库曼斯坦经费、第八届中国—亚欧博览会经费等4个项目986.83万元及调增基本工资、驻村工作经费、年度考核奖等基本支出180.93万元；三是新疆维吾尔自治区口岸发展促进中心年中追加中国（新疆）国际贸易“单一窗口”平台建设项目经费300.00万元及调增基本工资等基本支出33.13万元；四是新疆维吾尔自治区商务厅机关服务中心根据自治区新党编委〔2024〕79号文件，原来自收自支的35名人员纳入全额预算管理，年中追加基本工资等人员经费207.12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1.一般公共服务支出（类）7,768.08万元，占13.20%。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2.社会保障和就业支出（类）2,227.63万元，占3.79%。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3.卫生健康支出（类）642.59万元，占1.09%。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4.商业服务业等支出（类）44,363.63万元，占75.39%。</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5.住房保障支出（类）482.09万元，占0.82%。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6.粮油物资储备支出（类）3,364.16万元，占5.72%。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行政运行（项）：支出决算数为3,576.40万元，比上年决算增加301.30万元，增长9.20%，主要原因是：一是新疆维吾尔自治区口岸管理办公室2025年新增3名在职人员，同时调增基本工资、年中追加记实2025年职业年金单位缴费等，行政运行支出增加。二是新疆维吾尔自治区商务（本级）调增基本工资。</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机关服务（项）：支出决算数为910.63万元，比上年决算增加431.12万元，增长89.91%，主要原因是：新疆维吾尔自治区商务厅机关服务中心35名原自收自支编制人员纳入全额预算管理，机关服务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3</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招商引资（项）：支出决算数为282.98万元，比上年决算减少495.61万元，下降63.65%，主要原因是：新疆维吾尔自治区商务（本级）上年收到“港澳·投资新疆经贸文化交流活动经费”528.60万元，本年未获取相关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4</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事业运行（项）：支出决算数为1,228.06万元，比上年决算增加174.36万元，增长16.55%，主要原因是：一是新疆维吾尔自治区商务厅机关服务中心35名原自收自支编制人员纳入全额预算管理，事业运行支出较上年增加；二是新疆维吾尔自治区投资贸易促进中心为机构改革整合新组建单位，2025年度首次编制预算，事业运行支出较上年增加；三是新疆国际博览事务局因机构改革，原新疆国际博览事务局会展服务中心6人并入，事业运行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5</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一般公共服务支出（类）商贸事务（款）其他商贸事务支出（项）：支出决算数为1,770.00万元，比上年决算减少5,277.84万元，下降74.89%，主要原因是：一是新疆国际博览事务局2024年申请第八届博览会财政资金5,100.00万元，2025年商博会没有申请财政资金，年底追加第八届博览会财政资金876.00万元，2025年度收入较2024年度下降；二是新疆维吾尔自治区商务厅（本级）上年收到中国（新疆）自由贸易试验区信息系统建设项目、自治区口岸管理办公室办公场所及商务厅国际交流合作多功能视频会议室维修改造等专项资金，本年未获取相关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6</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教育支出（类）职业教育（款）中等职业教育（项）：支出决算数为0.00万元，比上年决算减少1,920.90万元，下降100.00%，主要原因是：原厅属事业单位新疆商贸经济学校，根据相关文件要求，并入新疆农业职业技术学院，2025年不属于本部门预算单位。</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7</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教育支出（类）职业教育（款）技校教育（项）：支出决算数为0.00万元，比上年决算减少379.26万元，下降100.00%，主要原因是：原厅属事业单位新疆商贸经济学校，根据相关文件要求，并入新疆农业职业技术学院，2025年不属于本部门预算单位。</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8</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行政单位离退休（项）：支出决算数为894.02万元，比上年决算增加77.02万元，增长9.43%，主要原因是：新疆维吾尔自治区商务厅（本级）调增离退休人员基本工资。</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9</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事业单位离退休（项）：支出决算数为276.98万元，比上年决算增加202.39万元，增长271.34%，主要原因是：新疆维吾尔自治区商务厅机关服务中心2025年开始纳入财政全额保障，对应的离退休相关经费同步纳入财政拨款核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10</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机关事业单位基本养老保险缴费支出（项）：支出决算数为626.32万元，比上年决算增加149.45万元，增长31.34%，主要原因是：一是新疆维吾尔自治区商务厅机关服务中心35名原自收自支编制人员纳入全额预算管理，基本养老保险缴费支出较上年增加；二是新疆维吾尔自治区投资贸易促进中心为机构改革整合新组建单位，2025年度首次编制预算，基本养老保险缴费支出较上年增加；三是新疆国际博览事务局因机构改革，原新疆国际博览事务局会展服务中心6人并入，基本养老保险缴费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11</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行政事业单位养老支出（款）机关事业单位职业年金缴费支出（项）：支出决算数为411.31万元，比上年决算增加285.16万元，增长226.05%，主要原因是：本年新增记实2025年职业年金单位缴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12</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社会保障和就业支出（类）企业改革补助（款）其他企业改革发展补助（项）：支出决算数为18.99万元，比上年决算增加12.40万元，增长188.16%，主要原因是：新疆维吾尔自治区商务厅（本级）本年新增区属国有企业离休干部基础绩效奖12.79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13</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卫生健康支出（类）行政事业单位医疗（款）行政单位医疗（项）：支出决算数为213.46万元，比上年决算增加49.71万元，增长30.36%，主要原因是：一是新疆维吾尔自治区商务厅（本级）调增基本工资，行政单位医疗缴费基数升高导致支出增加；二是新疆维吾尔自治区口岸管理办公室2025年新增3名在职人员，同时调增基本工资，行政单位医疗缴费基数升高导致支出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14</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卫生健康支出（类）行政事业单位医疗（款）事业单位医疗（项）：支出决算数为145.59万元，比上年决算增加70.05万元，增长92.73%，主要原因是：一是新疆维吾尔自治区商务厅机关服务中心35名原自收自支编制人员纳入全额预算管理，事业单位医疗缴费支出较上年增加；二是新疆维吾尔自治区投资贸易促进中心为机构改革整合新组建单位，2025年度首次编制预算，事业单位医疗缴费支出较上年增加；三是新疆国际博览事务局因机构改革，原新疆国际博览事务局会展服务中心6人并入，事业单位医疗缴费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15</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卫生健康支出（类）行政事业单位医疗（款）公务员医疗补助（项）：支出决算数为283.54万元，比上年决算增加93.32万元，增长49.06%，主要原因是：一是新疆维吾尔自治区商务厅机关服务中心35名原自收自支编制人员纳入全额预算管理，公务员医疗补助缴费支出较上年增加；二是新疆维吾尔自治区投资贸易促进中心为机构改革整合新组建单位，2025年度首次编制预算，公务员医疗补助缴费支出较上年增加；三是新疆国际博览事务局因机构改革，原新疆国际博览事务局会展服务中心6人并入，公务员医疗补助缴费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16</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商业流通事务（款）其他商业流通事务支出（项）：支出决算数为43,889.47万元，比上年决算增加43,789.55万元，增长43,824.61%，主要原因是：新疆维吾尔自治区商务厅（本级）本年新增消费品以旧换新专项资金43,789.47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17</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涉外发展服务支出（款）其他涉外发展服务支出（项）：支出决算数为434.16万元，比上年决算增加434.16万元，增长100.00%，主要原因是：新疆维吾尔自治区商务厅（本级）本年新增自治区扩大开放稳外贸专项资金434.16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18</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商业服务业等支出（类）其他商业服务业等支出（款）其他商业服务业等支出（项）：支出决算数为40.00万元，比上年决算减少5.83万元，下降12.72%，主要原因是：新疆维吾尔自治区商务厅（本级）报废机动车回收拆解企业资质认定专家评审经费支出20.00万元，较上年减少7.18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19</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住房保障支出（类）住房改革支出（款）住房公积金（项）：支出决算数为482.09万元，比上年决算增加106.13万元，增长28.23%，主要原因是：一是新疆维吾尔自治区商务厅机关服务中心35名原自收自支编制人员纳入全额预算管理，住房公积金缴费支出较上年增加；二是新疆维吾尔自治区投资贸易促进中心为机构改革整合新组建单位，2025年度首次编制预算，住房公积金缴费支出较上年增加；三是新疆国际博览事务局因机构改革，原新疆国际博览事务局会展服务中心6人并入，住房公积金缴费支出较上年增加。</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粮油物资储备支出（类）重要商品储备（款）肉类储备（项）：支出决算数为3,364.16万元，比上年决算增加2,678.03万元，增长390.31%，主要原因是：新疆维吾尔自治区商务厅（本级）落实《稳定肉牛肉羊及奶产业发展九条政策措施》相关要求，新增3,000吨肉类应急储备补贴资金2,206.59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21</w:t>
      </w:r>
      <w:r>
        <w:rPr>
          <w:rFonts w:hint="default" w:ascii="Times New Roman" w:hAnsi="Times New Roman" w:eastAsia="仿宋_GB2312" w:cs="Times New Roman"/>
          <w:b w:val="0"/>
          <w:sz w:val="32"/>
          <w:szCs w:val="32"/>
          <w:lang w:val="en-US" w:eastAsia="zh-CN"/>
        </w:rPr>
        <w:t>.</w:t>
      </w:r>
      <w:r>
        <w:rPr>
          <w:rFonts w:hint="default" w:ascii="Times New Roman" w:hAnsi="Times New Roman" w:eastAsia="仿宋_GB2312" w:cs="Times New Roman"/>
          <w:b w:val="0"/>
          <w:sz w:val="32"/>
          <w:szCs w:val="32"/>
        </w:rPr>
        <w:t>灾害防治及应急管理支出（类）应急管理事务（款）安全监管（项）：支出决算数为0.00万元，比上年决算减少5.00万元，下降100.00%，主要原因是：新疆维吾尔自治区商务厅（本级）上年收到“自治区安全生产及应急专项资金（考核举报奖励资金）”5.00万元，本年未获取此项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一般公共预算财政拨款基本支出9,048.42万元，其中：人员经费8,167.72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用经费880.70万元，包括：办公费、印刷费、水费、电费、邮电费、取暖费、物业管理费、差旅费、因公出国（境）费用、公务接待费、委托业务费、工会经费、福利费、公务用车运行维护费、其他交通费用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1、资源勘探工业信息等支出（类）超长期特别国债安排的支出（款）制造业（项）：支出决算数为300,000.00万元，比上年决算增加300,000.00万元，增长100.00%，主要原因是：</w:t>
      </w:r>
      <w:bookmarkStart w:id="0" w:name="_GoBack"/>
      <w:bookmarkEnd w:id="0"/>
      <w:r>
        <w:rPr>
          <w:rFonts w:hint="default" w:ascii="Times New Roman" w:hAnsi="Times New Roman" w:eastAsia="仿宋_GB2312" w:cs="Times New Roman"/>
          <w:b w:val="0"/>
          <w:sz w:val="32"/>
          <w:szCs w:val="32"/>
        </w:rPr>
        <w:t>不予公开。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本部门本年度无国有资本经营预算财政拨款收入、支出及结转和结余，国有资本经营预算财政拨款收入支出决算表为空表。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财政拨款“三公”经费支出143.27万元，比上年增加19.24万元，增长15.51%，主要原因是：一是新疆维吾尔自治区口岸管理办公室受机构改革影响，2024年未安排“三公”经费相关支出，2025年根据业务实际需要，发生因公出国（境）费用、公务用车购置及运行维护相关支出16.67万元；二是新疆维吾尔自治区商务厅（本级）2025年中追加10个团组18人的随新疆经贸代表团出访、赴阿拉木图参加第20届哈萨克斯坦-中国新疆商品展览会、赴香港参加高峰论坛座谈会等团组因公出国经费54.80万元，2024年仅追加7个团组22人的49.80万元。其中：因公出国（境）费用支出73.63万元,占51.39%，比上年增加14.33万元，增长24.17%，主要原因是：一是新疆维吾尔自治区口岸管理办公室年中追加赴蒙古国参加中蒙边境口岸管理合作委员会第六次会议等因公出国（境）经费8.09万元；二是新疆维吾尔自治区商务厅（本级）2025年中追加10 个团组18人的随新疆经贸代表团出访、赴阿拉木图参加第20届哈萨克斯坦-中国新疆商品展览会、赴香港参加高峰论坛座谈会等团组因公出国经费54.80万元，2024年仅追加7个团组22人的49.80万元；公务用车购置及运行维护费支出68.46万元，占47.78%，比上年增加5.73万元，增长9.13%，主要原因是：因机构改革，原新疆国际博览事务局会展服务中心一辆车并入新疆国际博览事务局；新疆维吾尔自治区商务厅口岸管理办公室2024年未安排公务用车购置及运行维护费，2025年按实际工作需要安排相关支出；公务接待费支出1.17万元，占0.82%，比上年减少0.83万元，下降41.50%，主要原因是：严格落实过紧日子要求，从严把控公务接待审批流程，按规定标准控制陪餐人数、用餐标准，简化接待流程，杜绝超标准、超范围接待。</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因公出国（境）费用73.63万元，开支内容包括随新疆经贸代表团出访、赴阿拉木图参加第20届哈萨克斯坦-中国新疆商品展览会、赴香港参加高峰论坛座谈会等团组因公出国。部门全年安排的因公出国（境）团组17个，因公出国（境）30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用车购置及运行维护费68.46万元，其中：公务用车购置费0.00万元，公务用车运行维护费68.46万元。公务用车运行维护费开支内容包括燃料费、维修费、停车过路费、保险费等。公务用车购置数0辆，公务用车保有量32辆。国有资产占用情况中固定资产车辆40辆，与公务用车保有量差异原因是：新疆维吾尔自治区商务厅机关服务中心其他用车6辆及新疆国际博览事务局其他用车2辆，未在公务用车保有量中统计，由非财政资金进行保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公务接待费1.17万元，开支内容包括宁夏回族自治区商务厅来疆对接洽谈第七届中阿博览会主题省（新疆）系列活动期间工作餐、商务部国际贸易经济合作研究院来疆开展自贸试验区评估调研期间工作餐、商务部调研组实地考察国家加工贸易产业园期间工作餐等。部门全年安排的国内公务接待16批次，80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与全年预算相比，财政拨款“三公”经费支出全年预算数143.27万元，决算数143.27万元，预决算差异率0.00%，主要原因是：从严控制三公经费开支，实时监控使用情况，做到量入为出，无预算不开支。其中：因公出国（境）费用全年预算数73.63万元，决算数73.63万元，预决算差异率0.00%，主要原因是：根据政府工作安排开展因公出国（境）活动，合理安排行程，严格遵守规定控制支出；公务用车购置费全年预算数0.00万元，决算数0.00万元，预决算差异率0.00%，主要原因是：无公务用车购置费；公务用车运行维护费全年预算数68.46万元，决算数68.46万元，预决算差异率0.00%，主要原因是：从严控制公务用车运行维护费开支，实时监控使用情况，做到量入为出，无预算不开支；公务接待费全年预算数1.17万元，决算数1.17万元，预决算差异率0.00%，主要原因是：从严控制公务接待费开支，实时监控使用情况，做到量入为出，无预算不开支。</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2025年度新疆维吾尔自治区商务厅（行政单位和参照公务员法管理事业单位）机关运行经费支出622.14万元，比上年增加40.00万元，增长6.87%，主要原因是：一是新疆维吾尔自治区商务厅机关服务中心35 名原自收自支编制人员纳入全额预算管理；二是新疆维吾尔自治区投资贸易促进中心为机构改革整合新组建单位，2025年度首次编制预算；三是新疆国际博览事务局因机构改革，原新疆国际博览事务局会展服务中心6人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新疆维吾尔自治区商务厅（事业单位）公用经费支出258.56万元，比上年减少352.10万元，下降57.66%，主要原因是：原厅属事业单位新疆商贸经济学校，根据相关文件要求，并入新疆农业职业技术学院，2025年不属于本部门预算单位。</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2025年度政府采购支出总额4,701.28万元，其中：政府采购货物支出417.43万元、政府采购工程支出102.70万元、政府采购服务支出4,181.14万元。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授予中小企业合同金额3,950.14万元，占政府采购支出总额的84.02%，其中：授予小微企业合同金额1,751.78万元，占政府采购支出总额的37.26%。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left"/>
        <w:textAlignment w:val="auto"/>
        <w:outlineLvl w:val="2"/>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截至2025年12月31日，房屋74,301.13平方米，价值12,182.13万元。车辆40辆，价值976.77万元，其中：副部（省）级及以上领导用车0辆、主要负责人用车0辆、机要通信用车0辆、应急保障用车0辆、执法执勤用车0辆、特种专业技术用车0辆、离退休干部服务用车0辆、其他用车40辆，其他用车主要是：一般业务用车;单价100万元（含）以上设备（不含车辆）1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根据预算绩效管理要求，本部门2025年度预算绩效管理形成整体支出绩效自评表1个，全年预算总额359,012.77万元，实际执行总额359,012.46万元；预算绩效评价项目41个，全年预算数349,811.63万元，全年执行数349,159.15万元。预算绩效管理取得的成效：绩效管理过程进一步严格，强化跟踪指导，每月督促项目执行单位加快项目实施，重点监督做好年中5月、8月绩效监控，突出问题整改，针对发现的问题及时下发督办通知，切实做好整改，确保顺利完成年度预算绩效评价及结果应用。发现的问题及原因：一是绩效管理需进一步压实责任，个别项目预算执行进度较慢，需要不断督促项目负责单位，影响了绩效监控、评价工作成绩；二是预算绩效管理研究不够深入，评价指标体系不完善；三是部分新增项目负责单位缺乏全面绩效管理工作经验，开展事前绩效评估的专业能力有待提升。下一步改进措施：一是进一步规范绩效工作流程，将绩效管理责任细化分解，形成统分结合、各负其责的工作机制；二是强化预算执行情况监督，充分应用财务分析机制，针对预算执行中存在的问题，积极采取应对措施，确保预算执行率，提高资金使用效益；三是加强绩效管理工作培训，结合年初预算编制、中期绩效监控及年度绩效评价等具体工作，对项目处室负责人、财务人员等开展专题培训，提高绩效管理工作的业务能力。具体附整体支出绩效自评表、项目支出绩效自评表及项目支出绩效评价报告。具体附整体支出绩效自评表、项目支出绩效自评表及项目支出绩效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sz w:val="32"/>
          <w:szCs w:val="32"/>
        </w:rPr>
        <w:t>一是2025年，新疆维吾尔商务厅（本级）安排SM项目20个，预算金额344,350.10万元，执行金额344,350.06万元。其中：政府性基金预算资金安排4个SM项目，预算金额300,000.00万元，执行金额300,000.00万元；一般公共预算资金安排16个SM项目，预算金额44,350.10万元，执行金额44,350.06万元。二是2025年，新疆国际博览事务局安排SM项目1个，预算金额43.71万元，执行金额43.71万元。其中：一般公共预算资金安排1个SM项目，预算金额43.71万元，执行金额43.71万元</w:t>
      </w:r>
      <w:r>
        <w:rPr>
          <w:rFonts w:hint="default" w:ascii="Times New Roman" w:hAnsi="Times New Roman" w:eastAsia="仿宋_GB2312" w:cs="Times New Roman"/>
          <w:b w:val="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一、财政拨款收入：</w:t>
      </w:r>
      <w:r>
        <w:rPr>
          <w:rFonts w:hint="default" w:ascii="Times New Roman" w:hAnsi="Times New Roman" w:eastAsia="仿宋_GB2312" w:cs="Times New Roman"/>
          <w:b w:val="0"/>
          <w:sz w:val="32"/>
          <w:szCs w:val="32"/>
        </w:rPr>
        <w:t>指单位本年度从同级财政部门取得的财政拨款，包括一般公共预算财政拨款、政府性基金预算财政拨款和国有资本经营预算财政拨款。</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二、上级补助收入：</w:t>
      </w:r>
      <w:r>
        <w:rPr>
          <w:rFonts w:hint="default" w:ascii="Times New Roman" w:hAnsi="Times New Roman" w:eastAsia="仿宋_GB2312" w:cs="Times New Roman"/>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三、事业收入：</w:t>
      </w:r>
      <w:r>
        <w:rPr>
          <w:rFonts w:hint="default" w:ascii="Times New Roman" w:hAnsi="Times New Roman" w:eastAsia="仿宋_GB2312" w:cs="Times New Roman"/>
          <w:b w:val="0"/>
          <w:sz w:val="32"/>
          <w:szCs w:val="32"/>
        </w:rPr>
        <w:t>指事业单位开展专业业务活动及其辅助活动取得的收入。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四、经营收入：</w:t>
      </w:r>
      <w:r>
        <w:rPr>
          <w:rFonts w:hint="default" w:ascii="Times New Roman" w:hAnsi="Times New Roman" w:eastAsia="仿宋_GB2312" w:cs="Times New Roman"/>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sz w:val="32"/>
          <w:szCs w:val="32"/>
        </w:rPr>
        <w:t>五、附属单位上缴收入：</w:t>
      </w:r>
      <w:r>
        <w:rPr>
          <w:rFonts w:hint="default" w:ascii="Times New Roman" w:hAnsi="Times New Roman" w:eastAsia="仿宋_GB2312" w:cs="Times New Roman"/>
          <w:b w:val="0"/>
          <w:sz w:val="32"/>
          <w:szCs w:val="32"/>
        </w:rPr>
        <w:t>指事业单位附属独立核算单位按照有关规定上缴的收入。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六、其他收入：</w:t>
      </w:r>
      <w:r>
        <w:rPr>
          <w:rFonts w:hint="default" w:ascii="Times New Roman" w:hAnsi="Times New Roman" w:eastAsia="仿宋_GB2312" w:cs="Times New Roman"/>
          <w:b w:val="0"/>
          <w:sz w:val="32"/>
          <w:szCs w:val="32"/>
        </w:rPr>
        <w:t>指单位取得的除上述</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财政拨款收入</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上级补助收入</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事业收入</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经营收入</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附属单位上缴收入</w:t>
      </w:r>
      <w:r>
        <w:rPr>
          <w:rFonts w:hint="default" w:ascii="Times New Roman" w:hAnsi="Times New Roman" w:eastAsia="仿宋_GB2312" w:cs="Times New Roman"/>
          <w:b w:val="0"/>
          <w:sz w:val="32"/>
          <w:szCs w:val="32"/>
          <w:lang w:eastAsia="zh-CN"/>
        </w:rPr>
        <w:t>”</w:t>
      </w:r>
      <w:r>
        <w:rPr>
          <w:rFonts w:hint="default" w:ascii="Times New Roman" w:hAnsi="Times New Roman" w:eastAsia="仿宋_GB2312" w:cs="Times New Roman"/>
          <w:b w:val="0"/>
          <w:sz w:val="32"/>
          <w:szCs w:val="32"/>
        </w:rPr>
        <w:t>以外的各项收入。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七、年初结转和结余：</w:t>
      </w:r>
      <w:r>
        <w:rPr>
          <w:rFonts w:hint="default" w:ascii="Times New Roman" w:hAnsi="Times New Roman" w:eastAsia="仿宋_GB2312" w:cs="Times New Roman"/>
          <w:b w:val="0"/>
          <w:sz w:val="32"/>
          <w:szCs w:val="32"/>
        </w:rPr>
        <w:t>指单位上年结转本年使用的基本支出结转、项目支出结转和结余、经营结余。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八、使用非财政拨款结余（含专用结余）：</w:t>
      </w:r>
      <w:r>
        <w:rPr>
          <w:rFonts w:hint="default" w:ascii="Times New Roman" w:hAnsi="Times New Roman" w:eastAsia="仿宋_GB2312" w:cs="Times New Roman"/>
          <w:b w:val="0"/>
          <w:sz w:val="32"/>
          <w:szCs w:val="32"/>
        </w:rPr>
        <w:t>指单位按照预算管理要求使用非财政拨款结余弥补收支差额的金额，以及使用专用结余安排支出的金额。</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九、结余分配</w:t>
      </w:r>
      <w:r>
        <w:rPr>
          <w:rFonts w:hint="default" w:ascii="Times New Roman" w:hAnsi="Times New Roman" w:eastAsia="仿宋_GB2312" w:cs="Times New Roman"/>
          <w:b w:val="0"/>
          <w:sz w:val="32"/>
          <w:szCs w:val="32"/>
        </w:rPr>
        <w:t>：指单位缴纳企业所得税以及从非财政拨款结余或经营结余中提取各类结余的情况。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十、年末结转和结余</w:t>
      </w:r>
      <w:r>
        <w:rPr>
          <w:rFonts w:hint="default" w:ascii="Times New Roman" w:hAnsi="Times New Roman" w:eastAsia="仿宋_GB2312" w:cs="Times New Roman"/>
          <w:b w:val="0"/>
          <w:sz w:val="32"/>
          <w:szCs w:val="32"/>
        </w:rPr>
        <w:t>：指单位结转下年的基本支出结转、项目支出结转和结余、经营结余。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十一、基本支出</w:t>
      </w:r>
      <w:r>
        <w:rPr>
          <w:rFonts w:hint="default" w:ascii="Times New Roman" w:hAnsi="Times New Roman" w:eastAsia="仿宋_GB2312" w:cs="Times New Roman"/>
          <w:b w:val="0"/>
          <w:sz w:val="32"/>
          <w:szCs w:val="32"/>
        </w:rPr>
        <w:t>：指单位为保障机构正常运转、完成日常工作任务而发生的各项支出。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十二、项目支出：</w:t>
      </w:r>
      <w:r>
        <w:rPr>
          <w:rFonts w:hint="default" w:ascii="Times New Roman" w:hAnsi="Times New Roman" w:eastAsia="仿宋_GB2312" w:cs="Times New Roman"/>
          <w:b w:val="0"/>
          <w:sz w:val="32"/>
          <w:szCs w:val="32"/>
        </w:rPr>
        <w:t>指单位为完成特定的行政工作任务或事业发展目标，在基本支出之外发生的各项支出。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十三、上缴上级支出：</w:t>
      </w:r>
      <w:r>
        <w:rPr>
          <w:rFonts w:hint="default" w:ascii="Times New Roman" w:hAnsi="Times New Roman" w:eastAsia="仿宋_GB2312" w:cs="Times New Roman"/>
          <w:b w:val="0"/>
          <w:sz w:val="32"/>
          <w:szCs w:val="32"/>
        </w:rPr>
        <w:t>指事业单位按照财政部门和主管部门的规定上缴上级单位的支出。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十四、经营支出：</w:t>
      </w:r>
      <w:r>
        <w:rPr>
          <w:rFonts w:hint="default" w:ascii="Times New Roman" w:hAnsi="Times New Roman" w:eastAsia="仿宋_GB2312" w:cs="Times New Roman"/>
          <w:b w:val="0"/>
          <w:sz w:val="32"/>
          <w:szCs w:val="32"/>
        </w:rPr>
        <w:t>指事业单位在专业活动及辅助活动之外开展非独立核算经营活动发生的支出。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十五、对附属单位补助支出：</w:t>
      </w:r>
      <w:r>
        <w:rPr>
          <w:rFonts w:hint="default" w:ascii="Times New Roman" w:hAnsi="Times New Roman" w:eastAsia="仿宋_GB2312" w:cs="Times New Roman"/>
          <w:b w:val="0"/>
          <w:sz w:val="32"/>
          <w:szCs w:val="32"/>
        </w:rPr>
        <w:t>指事业单位用财政补助收入之外的收入对附属单位补助发生的支出。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十六、</w:t>
      </w:r>
      <w:r>
        <w:rPr>
          <w:rFonts w:hint="default" w:ascii="Times New Roman" w:hAnsi="Times New Roman" w:eastAsia="仿宋_GB2312" w:cs="Times New Roman"/>
          <w:b/>
          <w:sz w:val="32"/>
          <w:szCs w:val="32"/>
          <w:lang w:eastAsia="zh-CN"/>
        </w:rPr>
        <w:t>“</w:t>
      </w:r>
      <w:r>
        <w:rPr>
          <w:rFonts w:hint="default" w:ascii="Times New Roman" w:hAnsi="Times New Roman" w:eastAsia="仿宋_GB2312" w:cs="Times New Roman"/>
          <w:b/>
          <w:sz w:val="32"/>
          <w:szCs w:val="32"/>
        </w:rPr>
        <w:t>三公</w:t>
      </w:r>
      <w:r>
        <w:rPr>
          <w:rFonts w:hint="default" w:ascii="Times New Roman" w:hAnsi="Times New Roman" w:eastAsia="仿宋_GB2312" w:cs="Times New Roman"/>
          <w:b/>
          <w:sz w:val="32"/>
          <w:szCs w:val="32"/>
          <w:lang w:eastAsia="zh-CN"/>
        </w:rPr>
        <w:t>”</w:t>
      </w:r>
      <w:r>
        <w:rPr>
          <w:rFonts w:hint="default" w:ascii="Times New Roman" w:hAnsi="Times New Roman" w:eastAsia="仿宋_GB2312" w:cs="Times New Roman"/>
          <w:b/>
          <w:sz w:val="32"/>
          <w:szCs w:val="32"/>
        </w:rPr>
        <w:t>经费：</w:t>
      </w:r>
      <w:r>
        <w:rPr>
          <w:rFonts w:hint="default" w:ascii="Times New Roman" w:hAnsi="Times New Roman" w:eastAsia="仿宋_GB2312" w:cs="Times New Roman"/>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2"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sz w:val="32"/>
          <w:szCs w:val="32"/>
        </w:rPr>
        <w:t>十七、机关运行经费：</w:t>
      </w:r>
      <w:r>
        <w:rPr>
          <w:rFonts w:hint="default" w:ascii="Times New Roman" w:hAnsi="Times New Roman" w:eastAsia="仿宋_GB2312" w:cs="Times New Roman"/>
          <w:b w:val="0"/>
          <w:sz w:val="32"/>
          <w:szCs w:val="32"/>
        </w:rPr>
        <w:t>指行政单位和参照公务员法管理的事业单位财政拨款基本支出中的公用经费支出。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cs="Times New Roman"/>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b w:val="0"/>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b w:val="0"/>
          <w:sz w:val="32"/>
          <w:szCs w:val="32"/>
        </w:rPr>
        <w:t>九、《财政拨款“三公”经费支出决算表》</w:t>
      </w:r>
    </w:p>
    <w:sectPr>
      <w:pgSz w:w="12240" w:h="15840"/>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3F7FFF9E"/>
    <w:rsid w:val="43EDF099"/>
    <w:rsid w:val="6CEDF5E1"/>
    <w:rsid w:val="6FFF82A2"/>
    <w:rsid w:val="75C6BD48"/>
    <w:rsid w:val="76F7D03A"/>
    <w:rsid w:val="777F9880"/>
    <w:rsid w:val="7FEE1016"/>
    <w:rsid w:val="CEAF8893"/>
    <w:rsid w:val="D5DF26F6"/>
    <w:rsid w:val="EBDBA50F"/>
    <w:rsid w:val="EF87FD9E"/>
    <w:rsid w:val="FF5C6F4B"/>
    <w:rsid w:val="FF7EF0B0"/>
    <w:rsid w:val="FFDFCB01"/>
    <w:rsid w:val="FFFF4F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Office_11.8.2.10953_F1E327BC-269C-435d-A152-05C5408002CA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2026-08-25T01:05:00Z</dcterms:created>
  <dc:creator>greatwall</dc:creator>
  <cp:lastModifiedBy>冯祎</cp:lastModifiedBy>
  <dcterms:modified xsi:type="dcterms:W3CDTF">2026-08-24T17:49:08Z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