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both"/>
        <w:rPr>
          <w:rFonts w:ascii="宋体" w:eastAsia="宋体"/>
          <w:sz w:val="32"/>
          <w:szCs w:val="32"/>
        </w:rPr>
      </w:pPr>
    </w:p>
    <w:p>
      <w:pPr>
        <w:widowControl/>
        <w:spacing w:before="0" w:beforeLines="0" w:beforeAutospacing="0" w:after="0" w:afterLines="0" w:afterAutospacing="0" w:line="240" w:lineRule="auto"/>
        <w:jc w:val="both"/>
        <w:rPr>
          <w:rFonts w:ascii="宋体" w:eastAsia="宋体"/>
          <w:sz w:val="44"/>
          <w:szCs w:val="44"/>
        </w:rPr>
      </w:pPr>
    </w:p>
    <w:p>
      <w:pPr>
        <w:widowControl/>
        <w:spacing w:before="0" w:beforeLines="0" w:beforeAutospacing="0" w:after="0" w:afterLines="0" w:afterAutospacing="0" w:line="240" w:lineRule="auto"/>
        <w:jc w:val="both"/>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74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740" w:lineRule="exact"/>
        <w:jc w:val="center"/>
        <w:textAlignment w:val="auto"/>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sz w:val="44"/>
          <w:szCs w:val="44"/>
        </w:rPr>
        <w:t>新疆国际博览事务局</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740" w:lineRule="exact"/>
        <w:jc w:val="center"/>
        <w:textAlignment w:val="auto"/>
        <w:outlineLvl w:val="0"/>
        <w:rPr>
          <w:rFonts w:hint="eastAsia" w:ascii="方正小标宋简体" w:hAnsi="方正小标宋简体" w:eastAsia="方正小标宋简体" w:cs="方正小标宋简体"/>
          <w:sz w:val="44"/>
          <w:szCs w:val="44"/>
        </w:rPr>
      </w:pPr>
      <w:r>
        <w:rPr>
          <w:rFonts w:hint="default" w:ascii="Times New Roman" w:hAnsi="Times New Roman" w:eastAsia="方正小标宋简体" w:cs="Times New Roman"/>
          <w:b w:val="0"/>
          <w:sz w:val="44"/>
          <w:szCs w:val="44"/>
        </w:rPr>
        <w:t>2025</w:t>
      </w:r>
      <w:r>
        <w:rPr>
          <w:rFonts w:hint="eastAsia" w:ascii="方正小标宋简体" w:hAnsi="方正小标宋简体" w:eastAsia="方正小标宋简体" w:cs="方正小标宋简体"/>
          <w:b w:val="0"/>
          <w:sz w:val="44"/>
          <w:szCs w:val="44"/>
        </w:rPr>
        <w:t>年度部门决算公开说明</w:t>
      </w:r>
    </w:p>
    <w:p>
      <w:pPr>
        <w:widowControl/>
        <w:jc w:val="both"/>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目 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第一部分</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二、机构设置</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第二部分 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二、收入决算情况说明</w:t>
      </w:r>
      <w:bookmarkStart w:id="0" w:name="_GoBack"/>
      <w:bookmarkEnd w:id="0"/>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第三部分 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第四部分 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九、《财政拨款“三公”经费支出决算表》</w:t>
      </w:r>
    </w:p>
    <w:p>
      <w:pPr>
        <w:widowControl/>
        <w:jc w:val="both"/>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新疆国际博览事务局2011年4月成立，为中国—亚欧博览会常设工作机构，对外称中国—亚欧博览会秘书处，实行一个机构，两块牌子。全额拨款事业单位。其主要职责：</w:t>
      </w:r>
      <w:r>
        <w:rPr>
          <w:rFonts w:hint="eastAsia" w:ascii="楷体_GB2312" w:hAnsi="楷体_GB2312" w:eastAsia="楷体_GB2312" w:cs="楷体_GB2312"/>
          <w:kern w:val="2"/>
          <w:sz w:val="32"/>
          <w:szCs w:val="32"/>
          <w:lang w:val="en-US" w:eastAsia="zh-CN"/>
        </w:rPr>
        <w:t>（一）</w:t>
      </w:r>
      <w:r>
        <w:rPr>
          <w:rFonts w:hint="eastAsia" w:ascii="Times New Roman" w:hAnsi="Times New Roman" w:eastAsia="仿宋_GB2312" w:cs="Times New Roman"/>
          <w:kern w:val="2"/>
          <w:sz w:val="32"/>
          <w:szCs w:val="32"/>
          <w:lang w:val="en-US" w:eastAsia="zh-CN"/>
        </w:rPr>
        <w:t>负责中国—亚欧博览会的总体策划和重大活动的组织实施。</w:t>
      </w:r>
      <w:r>
        <w:rPr>
          <w:rFonts w:hint="eastAsia" w:ascii="楷体_GB2312" w:hAnsi="楷体_GB2312" w:eastAsia="楷体_GB2312" w:cs="楷体_GB2312"/>
          <w:kern w:val="2"/>
          <w:sz w:val="32"/>
          <w:szCs w:val="32"/>
          <w:lang w:val="en-US" w:eastAsia="zh-CN"/>
        </w:rPr>
        <w:t>（二）</w:t>
      </w:r>
      <w:r>
        <w:rPr>
          <w:rFonts w:hint="eastAsia" w:ascii="Times New Roman" w:hAnsi="Times New Roman" w:eastAsia="仿宋_GB2312" w:cs="Times New Roman"/>
          <w:kern w:val="2"/>
          <w:sz w:val="32"/>
          <w:szCs w:val="32"/>
          <w:lang w:val="en-US" w:eastAsia="zh-CN"/>
        </w:rPr>
        <w:t>统筹协调和组织实施中国—亚欧博览会展览组织管理工作，包括境内外招商招展，以及展会的展区规划、现场管理与服务工作。</w:t>
      </w:r>
      <w:r>
        <w:rPr>
          <w:rFonts w:hint="eastAsia" w:ascii="楷体_GB2312" w:hAnsi="楷体_GB2312" w:eastAsia="楷体_GB2312" w:cs="楷体_GB2312"/>
          <w:kern w:val="2"/>
          <w:sz w:val="32"/>
          <w:szCs w:val="32"/>
          <w:lang w:val="en-US" w:eastAsia="zh-CN"/>
        </w:rPr>
        <w:t>（三）</w:t>
      </w:r>
      <w:r>
        <w:rPr>
          <w:rFonts w:hint="eastAsia" w:ascii="Times New Roman" w:hAnsi="Times New Roman" w:eastAsia="仿宋_GB2312" w:cs="Times New Roman"/>
          <w:kern w:val="2"/>
          <w:sz w:val="32"/>
          <w:szCs w:val="32"/>
          <w:lang w:val="en-US" w:eastAsia="zh-CN"/>
        </w:rPr>
        <w:t>联络中国—亚欧博览会各主办方，协调落实相关工作，协调邀请重要来宾。</w:t>
      </w:r>
      <w:r>
        <w:rPr>
          <w:rFonts w:hint="eastAsia" w:ascii="楷体_GB2312" w:hAnsi="楷体_GB2312" w:eastAsia="楷体_GB2312" w:cs="楷体_GB2312"/>
          <w:kern w:val="2"/>
          <w:sz w:val="32"/>
          <w:szCs w:val="32"/>
          <w:lang w:val="en-US" w:eastAsia="zh-CN"/>
        </w:rPr>
        <w:t>（四）</w:t>
      </w:r>
      <w:r>
        <w:rPr>
          <w:rFonts w:hint="eastAsia" w:ascii="Times New Roman" w:hAnsi="Times New Roman" w:eastAsia="仿宋_GB2312" w:cs="Times New Roman"/>
          <w:kern w:val="2"/>
          <w:sz w:val="32"/>
          <w:szCs w:val="32"/>
          <w:lang w:val="en-US" w:eastAsia="zh-CN"/>
        </w:rPr>
        <w:t>负责中国—亚欧博览会整体形象设计和宣传推介工作，建设、管理和维护中国—亚欧博览会网站。</w:t>
      </w:r>
      <w:r>
        <w:rPr>
          <w:rFonts w:hint="eastAsia" w:ascii="楷体_GB2312" w:hAnsi="楷体_GB2312" w:eastAsia="楷体_GB2312" w:cs="楷体_GB2312"/>
          <w:kern w:val="2"/>
          <w:sz w:val="32"/>
          <w:szCs w:val="32"/>
          <w:lang w:val="en-US" w:eastAsia="zh-CN"/>
        </w:rPr>
        <w:t>（五）</w:t>
      </w:r>
      <w:r>
        <w:rPr>
          <w:rFonts w:hint="eastAsia" w:ascii="Times New Roman" w:hAnsi="Times New Roman" w:eastAsia="仿宋_GB2312" w:cs="Times New Roman"/>
          <w:kern w:val="2"/>
          <w:sz w:val="32"/>
          <w:szCs w:val="32"/>
          <w:lang w:val="en-US" w:eastAsia="zh-CN"/>
        </w:rPr>
        <w:t>根据中国—亚欧博览会的部署，统筹协调、督促落实各项服务和保障工作。</w:t>
      </w:r>
      <w:r>
        <w:rPr>
          <w:rFonts w:hint="eastAsia" w:ascii="楷体_GB2312" w:hAnsi="楷体_GB2312" w:eastAsia="楷体_GB2312" w:cs="楷体_GB2312"/>
          <w:kern w:val="2"/>
          <w:sz w:val="32"/>
          <w:szCs w:val="32"/>
          <w:lang w:val="en-US" w:eastAsia="zh-CN"/>
        </w:rPr>
        <w:t>（六）</w:t>
      </w:r>
      <w:r>
        <w:rPr>
          <w:rFonts w:hint="eastAsia" w:ascii="Times New Roman" w:hAnsi="Times New Roman" w:eastAsia="仿宋_GB2312" w:cs="Times New Roman"/>
          <w:kern w:val="2"/>
          <w:sz w:val="32"/>
          <w:szCs w:val="32"/>
          <w:lang w:val="en-US" w:eastAsia="zh-CN"/>
        </w:rPr>
        <w:t>负责中国—亚欧博览会的经费预算及相关的收支核算。</w:t>
      </w:r>
      <w:r>
        <w:rPr>
          <w:rFonts w:hint="eastAsia" w:ascii="楷体_GB2312" w:hAnsi="楷体_GB2312" w:eastAsia="楷体_GB2312" w:cs="楷体_GB2312"/>
          <w:kern w:val="2"/>
          <w:sz w:val="32"/>
          <w:szCs w:val="32"/>
          <w:lang w:val="en-US" w:eastAsia="zh-CN"/>
        </w:rPr>
        <w:t>（七）</w:t>
      </w:r>
      <w:r>
        <w:rPr>
          <w:rFonts w:hint="eastAsia" w:ascii="Times New Roman" w:hAnsi="Times New Roman" w:eastAsia="仿宋_GB2312" w:cs="Times New Roman"/>
          <w:kern w:val="2"/>
          <w:sz w:val="32"/>
          <w:szCs w:val="32"/>
          <w:lang w:val="en-US" w:eastAsia="zh-CN"/>
        </w:rPr>
        <w:t>研究新疆会展产业发展战略，制定规划，指导新疆会展业科学发展，收集管理展会和客户资源信息，培育会展人才队伍。</w:t>
      </w:r>
      <w:r>
        <w:rPr>
          <w:rFonts w:hint="eastAsia" w:ascii="楷体_GB2312" w:hAnsi="楷体_GB2312" w:eastAsia="楷体_GB2312" w:cs="楷体_GB2312"/>
          <w:kern w:val="2"/>
          <w:sz w:val="32"/>
          <w:szCs w:val="32"/>
          <w:lang w:val="en-US" w:eastAsia="zh-CN"/>
        </w:rPr>
        <w:t>（八）</w:t>
      </w:r>
      <w:r>
        <w:rPr>
          <w:rFonts w:hint="eastAsia" w:ascii="Times New Roman" w:hAnsi="Times New Roman" w:eastAsia="仿宋_GB2312" w:cs="Times New Roman"/>
          <w:kern w:val="2"/>
          <w:sz w:val="32"/>
          <w:szCs w:val="32"/>
          <w:lang w:val="en-US" w:eastAsia="zh-CN"/>
        </w:rPr>
        <w:t>主办和承办其他各种博览会、展览会、高层论坛和国际性会议。</w:t>
      </w:r>
      <w:r>
        <w:rPr>
          <w:rFonts w:hint="eastAsia" w:ascii="楷体_GB2312" w:hAnsi="楷体_GB2312" w:eastAsia="楷体_GB2312" w:cs="楷体_GB2312"/>
          <w:kern w:val="2"/>
          <w:sz w:val="32"/>
          <w:szCs w:val="32"/>
          <w:lang w:val="en-US" w:eastAsia="zh-CN"/>
        </w:rPr>
        <w:t>（九）</w:t>
      </w:r>
      <w:r>
        <w:rPr>
          <w:rFonts w:hint="eastAsia" w:ascii="Times New Roman" w:hAnsi="Times New Roman" w:eastAsia="仿宋_GB2312" w:cs="Times New Roman"/>
          <w:kern w:val="2"/>
          <w:sz w:val="32"/>
          <w:szCs w:val="32"/>
          <w:lang w:val="en-US" w:eastAsia="zh-CN"/>
        </w:rPr>
        <w:t>研究推动并组织实施中国—亚欧博览会市场化运作工作。</w:t>
      </w:r>
      <w:r>
        <w:rPr>
          <w:rFonts w:hint="eastAsia" w:ascii="楷体_GB2312" w:hAnsi="楷体_GB2312" w:eastAsia="楷体_GB2312" w:cs="楷体_GB2312"/>
          <w:kern w:val="2"/>
          <w:sz w:val="32"/>
          <w:szCs w:val="32"/>
          <w:lang w:val="en-US" w:eastAsia="zh-CN"/>
        </w:rPr>
        <w:t>（十）</w:t>
      </w:r>
      <w:r>
        <w:rPr>
          <w:rFonts w:hint="eastAsia" w:ascii="Times New Roman" w:hAnsi="Times New Roman" w:eastAsia="仿宋_GB2312" w:cs="Times New Roman"/>
          <w:kern w:val="2"/>
          <w:sz w:val="32"/>
          <w:szCs w:val="32"/>
          <w:lang w:val="en-US" w:eastAsia="zh-CN"/>
        </w:rPr>
        <w:t>承办中国—亚欧博览会组委会、商务部和自治区人民政府交办的其他事项。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1"/>
        <w:rPr>
          <w:rFonts w:hint="eastAsia" w:ascii="黑体" w:eastAsia="黑体"/>
          <w:b w:val="0"/>
          <w:sz w:val="32"/>
          <w:szCs w:val="32"/>
          <w:lang w:val="en-US" w:eastAsia="zh-CN"/>
        </w:rPr>
      </w:pPr>
      <w:r>
        <w:rPr>
          <w:rFonts w:hint="eastAsia" w:ascii="黑体" w:eastAsia="黑体"/>
          <w:b w:val="0"/>
          <w:sz w:val="32"/>
          <w:szCs w:val="32"/>
          <w:lang w:val="en-US" w:eastAsia="zh-CN"/>
        </w:rPr>
        <w:t>二、机构设置</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新疆国际博览事务局无下属预算单位。</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0"/>
        <w:rPr>
          <w:rFonts w:hint="default" w:ascii="黑体" w:eastAsia="黑体"/>
          <w:b w:val="0"/>
          <w:sz w:val="32"/>
          <w:szCs w:val="32"/>
          <w:lang w:val="en-US" w:eastAsia="zh-CN"/>
        </w:rPr>
      </w:pPr>
      <w:r>
        <w:rPr>
          <w:rFonts w:hint="default" w:ascii="黑体" w:eastAsia="黑体"/>
          <w:b w:val="0"/>
          <w:sz w:val="32"/>
          <w:szCs w:val="32"/>
          <w:lang w:val="en-US" w:eastAsia="zh-CN"/>
        </w:rPr>
        <w:t>第二部分 部门决算情况说明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一、收入支出决算总体情况说明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2025年度收入总计1,922.57万元，其中：本年收入合计1,860.78万元，使用非财政拨款结余（含专用结余）0.00万元，年初结转和结余61.79万元。</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2025年度支出总计1,922.57万元，其中：本年支出合计1,907.18万元，结余分配0.00万元，年末结转和结余15.39万元。</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收入支出总体与上年相比，减少4,105.95万元，下降68.11%，主要原因是：2024年申请第八届博览会财政资金5,100.00万元，2025年商博会没有申请财政资金，年底追加第八届博览会财政资金822.62万元，2025年度收入较2024年度下降。</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黑体" w:hAnsi="黑体" w:eastAsia="黑体" w:cs="黑体"/>
          <w:kern w:val="2"/>
          <w:sz w:val="32"/>
          <w:szCs w:val="32"/>
          <w:lang w:val="en-US" w:eastAsia="zh-CN"/>
        </w:rPr>
      </w:pPr>
      <w:r>
        <w:rPr>
          <w:rFonts w:hint="default" w:ascii="黑体" w:hAnsi="黑体" w:eastAsia="黑体" w:cs="黑体"/>
          <w:kern w:val="2"/>
          <w:sz w:val="32"/>
          <w:szCs w:val="32"/>
          <w:lang w:val="en-US" w:eastAsia="zh-CN"/>
        </w:rPr>
        <w:t>二、收入决算情况说明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本年收入1,860.78万元，其中：财政拨款收入1,860.74万元,占100.00%；上级补助收入0.00万元,占0.00%；事业收入0.00万元，占0.00%；经营收入0.00万元,占0.00%；附属单位上缴收入0.00万元，占0.00%；其他收入0.03万元，占0.00%。</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黑体" w:hAnsi="黑体" w:eastAsia="黑体" w:cs="黑体"/>
          <w:kern w:val="2"/>
          <w:sz w:val="32"/>
          <w:szCs w:val="32"/>
          <w:lang w:val="en-US" w:eastAsia="zh-CN"/>
        </w:rPr>
      </w:pPr>
      <w:r>
        <w:rPr>
          <w:rFonts w:hint="default" w:ascii="黑体" w:hAnsi="黑体" w:eastAsia="黑体" w:cs="黑体"/>
          <w:kern w:val="2"/>
          <w:sz w:val="32"/>
          <w:szCs w:val="32"/>
          <w:lang w:val="en-US" w:eastAsia="zh-CN"/>
        </w:rPr>
        <w:t>三、支出决算情况说明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本年支出1,907.18万元，其中：基本支出953.65万元，占50.00%；项目支出953.53万元，占50.00%；上缴上级支出0.00万元，占0.00%；经营支出0.00万元，占0.00%；对附属单位补助支出0.00万元，占0.00%。</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黑体" w:hAnsi="黑体" w:eastAsia="黑体" w:cs="黑体"/>
          <w:kern w:val="2"/>
          <w:sz w:val="32"/>
          <w:szCs w:val="32"/>
          <w:lang w:val="en-US" w:eastAsia="zh-CN"/>
        </w:rPr>
      </w:pPr>
      <w:r>
        <w:rPr>
          <w:rFonts w:hint="default" w:ascii="黑体" w:hAnsi="黑体" w:eastAsia="黑体" w:cs="黑体"/>
          <w:kern w:val="2"/>
          <w:sz w:val="32"/>
          <w:szCs w:val="32"/>
          <w:lang w:val="en-US" w:eastAsia="zh-CN"/>
        </w:rPr>
        <w:t>四、财政拨款收入支出决算总体情况说明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2025年度财政拨款收入总计1,883.14万元，其中：年初财政拨款结转和结余22.39万元，本年财政拨款收入1,860.74万元。财政拨款支出总计1,883.14万元，其中：年末财政拨款结转和结余14.85万元，本年财政拨款支出1,868.28万元。</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财政拨款收入支出总体与上年相比，减少4,105.98万元，下降68.56%，主要原因是：2024年申请第八届博览会财政资金5,100.00万元，2025年商博会没有申请财政资金，年底追加第八届博览会财政资金822.62万元，2025年度收入较2024年度下降。与年初预算相比，年初预算数810.46万元，决算数1,883.14万元，预决算差异率132.35%，主要原因是：年中调增基本工资、结对认亲交通费、驻村工作经费、年度考核奖、追加2024年外事活动专项经费、2025年（中国）亚欧商品贸易博览会疆内棉花和纺织服装企业参展补贴、因公出访土库曼斯坦经费、第八届中国—亚欧博览会经费等14个项目共计1,076.59万元。</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黑体" w:hAnsi="黑体" w:eastAsia="黑体" w:cs="黑体"/>
          <w:kern w:val="2"/>
          <w:sz w:val="32"/>
          <w:szCs w:val="32"/>
          <w:lang w:val="en-US" w:eastAsia="zh-CN"/>
        </w:rPr>
      </w:pPr>
      <w:r>
        <w:rPr>
          <w:rFonts w:hint="default" w:ascii="黑体" w:hAnsi="黑体" w:eastAsia="黑体" w:cs="黑体"/>
          <w:kern w:val="2"/>
          <w:sz w:val="32"/>
          <w:szCs w:val="32"/>
          <w:lang w:val="en-US" w:eastAsia="zh-CN"/>
        </w:rPr>
        <w:t>五、一般公共预算财政拨款支出决算情况说明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按照党中央、国务院关于党政机关习惯过紧日子的有关要求，厉行节约办一切事业，严控一般性支出。同时坚持有保有压，优化支出结构，提高资金使用效率，合理保障2025商博会顺利召开、2025年商博会疆内棉花和纺织服装企业参展补贴合理发放、博览会（商博会）知名度进一步提升等重点支出，体现在有关支出科目中。</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按照支出功能分类，一般公共服务支出（类）商贸事务（款）其他商贸事务支出（项）的支出占本年财政拨款支出总额的比重最高，2025年度决算数为914.63万元，占比48.96%，主要用于年底追加第八届博览会财政资金822.62万元、追加2024年外事活动专项经费43.71万元、2025年（中国）亚欧商品贸易博览会疆内棉花和纺织服装企业参展补贴31.85万元。</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（一）一般公共预算财政拨款支出决算总体情况</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2025年度一般公共预算财政拨款支出1,868.28万元，占本年支出合计的97.96%。与上年相比，减少4,098.45万元，下降68.69%，主要原因是：2024年申请第八届博览会财政资金5,100.00万元，2025年商博会没有申请财政资金，年底追加第八届博览会财政资金822.62万元，导致2025年度收入较2024年度下降。与年初预算相比，年初预算数810.46万元，决算数1,868.28万元，预决算差异率130.52%，主要原因是：年中调增基本工资、结对认亲交通费、驻村工作经费、年度考核奖、追加2024年外事活动专项经费、2025年（中国）亚欧商品贸易博览会疆内棉花和纺织服装企业参展补贴、因公出访土库曼斯坦经费、第八届中国—亚欧博览会经费等14个项目共计1,076.59万元。</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（二）一般公共预算财政拨款支出决算结构情况</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1.一般公共服务支出（类）1,630.98万元，占87.30%。</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2.社会保障和就业支出（类）98.13万元，占5.25%。</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3.卫生健康支出（类）79.12万元，占4.23%。</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4.住房保障支出（类）60.05万元，占3.21%。</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（三）一般公共预算财政拨款支出决算具体情况</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1、一般公共服务支出（类）商贸事务（款）事业运行（项）：支出决算数为716.35万元，比上年决算增加90.07万元，增长14.38%，主要原因是：因机构改革，原新疆国际博览事务局会展服务中心6人并入新疆国际博览事务局，事业运行支出决算数较上年增加。</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一般公共服务支出（类）商贸事务（款）其他商贸事务支出（项）：支出决算数为914.63万元，比上年决算减少4,282.02万元，下降82.40%，主要原因是：2024年申请第八届博览会财政资金5,100.00万元，2025年商博会没有申请财政资金，年底追加第八届博览会财政资金876万元，2025年度收入较2024年度下降。</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3、社会保障和就业支出（类）行政事业单位养老支出（款）事业单位离退休（项）：支出决算数为7.19万元，比上年决算增加2.34万元，增长48.25%，主要原因是：因机构改革，原新疆国际博览事务局会展服务中心6人并入新疆国际博览事务局，事业单位离退休支出决算数较上年增加。</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4、社会保障和就业支出（类）行政事业单位养老支出（款）机关事业单位基本养老保险缴费支出（项）：支出决算数为80.06万元，比上年决算增加17.88万元，增长28.76%，主要原因是：因机构改革，原新疆国际博览事务局会展服务中心6人并入新疆国际博览事务局，机关事业单位基本养老保险缴费支出决算数较上年增加。</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5、社会保障和就业支出（类）行政事业单位养老支出（款）机关事业单位职业年金缴费支出（项）：支出决算数为10.88万元，比上年决算增加9.90万元，增长1,010.20%，主要原因是：因机构改革，原新疆国际博览事务局会展服务中心6人并入新疆国际博览事务局，机关事业单位职业年金缴费支出较上年增加。</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6、卫生健康支出（类）行政事业单位医疗（款）事业单位医疗（项）：支出决算数为44.09万元，比上年决算增加14.94万元，增长51.25%，主要原因是：因机构改革，原新疆国际博览事务局会展服务中心6人并入新疆国际博览事务局，事业单位医疗较上年增加。</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7、卫生健康支出（类）行政事业单位医疗（款）公务员医疗补助（项）：支出决算数为35.02万元，比上年决算增加35.02万元，增长100.00%，主要原因是：因机构改革，原新疆国际博览事务局会展服务中心6人并入新疆国际博览事务局，公务员医疗补助较上年增加。</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8、住房保障支出（类）住房改革支出（款）住房公积金（项）：支出决算数为60.05万元，比上年决算增加13.41万元，增长28.75%，主要原因是：因机构改革，原新疆国际博览事务局会展服务中心6人并入新疆国际博览事务局，住房公积金较上年增加。</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六、一般公共预算财政拨款基本支出决算情况说明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2025年度一般公共预算财政拨款基本支出953.65万元，其中：人员经费810.61万元，包括：基本工资、津贴补贴、奖金、绩效工资、机关事业单位基本养老保险缴费、职业年金缴费、职工基本医疗保险缴费、公务员医疗补助缴费、其他社会保障缴费、住房公积金、其他工资福利支出、退休费、生活补助、奖励金和其他对个人和家庭的补助。</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公用经费143.04万元，包括：办公费、水费、电费、邮电费、物业管理费、差旅费、因公出国（境）费用、委托业务费、工会经费、福利费、公务用车运行维护费、其他交通费用和其他商品和服务支出。</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七、政府性基金预算财政拨款收入支出决算情况说明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本单位本年度无政府性基金预算财政拨款收入、支出及结转和结余，政府性基金预算财政拨款收入支出决算表为空表。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黑体" w:hAnsi="黑体" w:eastAsia="黑体" w:cs="黑体"/>
          <w:kern w:val="2"/>
          <w:sz w:val="32"/>
          <w:szCs w:val="32"/>
          <w:lang w:val="en-US" w:eastAsia="zh-CN"/>
        </w:rPr>
      </w:pPr>
      <w:r>
        <w:rPr>
          <w:rFonts w:hint="default" w:ascii="黑体" w:hAnsi="黑体" w:eastAsia="黑体" w:cs="黑体"/>
          <w:kern w:val="2"/>
          <w:sz w:val="32"/>
          <w:szCs w:val="32"/>
          <w:lang w:val="en-US" w:eastAsia="zh-CN"/>
        </w:rPr>
        <w:t>八、国有资本经营预算财政拨款收入支出决算情况说明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本单位本年度无国有资本经营预算财政拨款收入、支出及结转和结余，国有资本经营预算财政拨款收入支出决算表为空表。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黑体" w:hAnsi="黑体" w:eastAsia="黑体" w:cs="黑体"/>
          <w:kern w:val="2"/>
          <w:sz w:val="32"/>
          <w:szCs w:val="32"/>
          <w:lang w:val="en-US" w:eastAsia="zh-CN"/>
        </w:rPr>
      </w:pPr>
      <w:r>
        <w:rPr>
          <w:rFonts w:hint="default" w:ascii="黑体" w:hAnsi="黑体" w:eastAsia="黑体" w:cs="黑体"/>
          <w:kern w:val="2"/>
          <w:sz w:val="32"/>
          <w:szCs w:val="32"/>
          <w:lang w:val="en-US" w:eastAsia="zh-CN"/>
        </w:rPr>
        <w:t>九、财政拨款“三公”经费支出决算情况说明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2025年度财政拨款“三公”经费支出9.00万元，比上年增加4.80万元，增长114.29%，主要原因是：一是因机构改革，原新疆国际博览事务局会展服务中心一辆车并入新疆国际博览事务局；二是年中追加因公出国（境）费用1.24万元。其中：因公出国（境）费用支出1.24万元,占13.78%，比上年增加1.24万元，增长100%，主要原因是：按照关于下达新疆国际博览事务局因公出访土库曼斯坦经费预算通知，博览局一名领导赴土库曼斯坦参加地毯节活动，推介2025年（中国）亚欧商品贸易博览会；公务用车购置及运行维护费支出7.76万元，占86.22%，比上年增加3.56万元，增长84.76%，主要原因是：因机构改革，原新疆国际博览事务局会展服务中心一辆车并入新疆国际博览事务局；公务接待费支出0.00万元，占0.00%，与上年相比无变化，主要原因是：2024年度没有安排公务接待。</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具体情况如下：</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因公出国（境）费用1.24万元，开支内容包括新疆国际博览事务局一名领导赴土库曼斯坦参加地毯节活动，推介2025年（中国）亚欧商品贸易博览会。单位全年安排的因公出国（境）团组1个，因公出国（境）1人次。</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公务用车购置及运行维护费7.76万元，其中：公务用车购置费0.00万元，公务用车运行维护费7.76万元。公务用车运行维护费开支内容包括汽油费、车辆保险。公务用车购置数0辆，公务用车保有量7辆。国有资产占用情况中固定资产车辆9辆，与公务用车保有量差异原因是：</w:t>
      </w:r>
      <w:r>
        <w:rPr>
          <w:rFonts w:hint="eastAsia" w:ascii="Times New Roman" w:hAnsi="Times New Roman" w:eastAsia="仿宋_GB2312" w:cs="Times New Roman"/>
          <w:kern w:val="2"/>
          <w:sz w:val="32"/>
          <w:szCs w:val="32"/>
          <w:lang w:val="en-US" w:eastAsia="zh-CN"/>
        </w:rPr>
        <w:t>我单位其他用车2辆，未在公务用车保有量中统计，由非财政资金进行保障</w:t>
      </w:r>
      <w:r>
        <w:rPr>
          <w:rFonts w:hint="default" w:ascii="Times New Roman" w:hAnsi="Times New Roman" w:eastAsia="仿宋_GB2312" w:cs="Times New Roman"/>
          <w:kern w:val="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公务接待费0.00万元，开支内容包括无。单位全年安排的国内公务接待0批次，0人次。</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与全年预算相比，财政拨款“三公”经费支出全年预算数9.00万元，决算数9.00万元，预决算差异率0.00%，主要原因是：“三公”经费完全按照预算执行。其中：因公出国（境）费用全年预算数1.24万元，决算数1.24万元，预决算差异率0.00%，主要原因是：因公出国（境）费用完全按照预算执行；公务用车购置费全年预算数0.00万元，决算数0.00万元，预决算差异率0.00%，主要原因是：2024年度没有购置车辆；公务用车运行维护费全年预算数7.76万元，决算数7.76万元，预决算差异率0.00%，主要原因是：公务用车运行维护费完全按照预算执行；公务接待费全年预算数0.00万元，决算数0.00万元，预决算差异率0.00%，主要原因是：新疆国际博览事务局2024年度没有安排公务接待。</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十、其他重要事项的情况说明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（一）机关运行经费及公用经费支出情况</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2025年度新疆国际博览事务局（事业单位）公用经费支出143.04万元，比上年增加61.98万元，增长76.46%，主要原因是：一是人员晋升，公用经费增加；二是使用往年结转结余款支付招展组展推介差旅费。</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（二）政府采购情况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2025年度政府采购支出总额4.14万元，其中：政府采购货物支出0.00万元、政府采购工程支出0.00万元、政府采购服务支出4.14万元。</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授予中小企业合同金额1.12万元，占政府采购支出总额的27.05%，其中：授予小微企业合同金额0.42万元，占政府采购支出总额的10.14%。</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楷体_GB2312" w:hAnsi="楷体_GB2312" w:eastAsia="楷体_GB2312" w:cs="楷体_GB2312"/>
          <w:kern w:val="2"/>
          <w:sz w:val="32"/>
          <w:szCs w:val="32"/>
          <w:lang w:val="en-US" w:eastAsia="zh-CN"/>
        </w:rPr>
      </w:pPr>
      <w:r>
        <w:rPr>
          <w:rFonts w:hint="eastAsia" w:ascii="楷体_GB2312" w:hAnsi="楷体_GB2312" w:eastAsia="楷体_GB2312" w:cs="楷体_GB2312"/>
          <w:kern w:val="2"/>
          <w:sz w:val="32"/>
          <w:szCs w:val="32"/>
          <w:lang w:val="en-US" w:eastAsia="zh-CN"/>
        </w:rPr>
        <w:t>（三）国有资产占用情况说明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截至2025年12月31日，房屋3,795.44平方米，价值1,954.67万元。车辆9辆，价值336.05万元，其中：副部（省）级及以上领导用车0辆、主要负责人用车0辆、机要通信用车0辆、应急保障用车0辆、执法执勤用车0辆、特种专业技术用车0辆、离退休干部服务用车0辆、其他用车9辆，其他用车主要是：公务用车;单价100万元（含）以上设备（不含车辆）1台（套）。</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eastAsia" w:ascii="黑体" w:hAnsi="黑体" w:eastAsia="黑体" w:cs="黑体"/>
          <w:kern w:val="2"/>
          <w:sz w:val="32"/>
          <w:szCs w:val="32"/>
          <w:lang w:val="en-US" w:eastAsia="zh-CN"/>
        </w:rPr>
      </w:pPr>
      <w:r>
        <w:rPr>
          <w:rFonts w:hint="eastAsia" w:ascii="黑体" w:hAnsi="黑体" w:eastAsia="黑体" w:cs="黑体"/>
          <w:kern w:val="2"/>
          <w:sz w:val="32"/>
          <w:szCs w:val="32"/>
          <w:lang w:val="en-US" w:eastAsia="zh-CN"/>
        </w:rPr>
        <w:t>十一、预算绩效的情况说明</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根据预算绩效管理要求，本单位2025年度预算绩效评价项目5个，全年预算数160.03万元，全年执行数126.48万元。预算绩效管理取得的成效：一是通过发放疆内棉花和纺织服装企业参展补贴，进一步提升了企业参展积极性，博览会（商博会）品牌化进一步提升；二是通过参加土库曼斯坦地毯节，使博览会（商博会）影响力大大增加。发现的问题及原因：疆内棉纺织品和纺织服装参展补贴由于预算不准，导致33万资金没有发放上缴财政。下一步改进措施：进一步加强单位提高预算支出绩效管理意识，科学编制项目预算，提高项目预算编制的精细化水平基础上，针对项目实施具备条件考虑项目实施过程中存在实际情况改变等客观因素。具体附项目支出绩效自评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黑体" w:hAnsi="黑体" w:eastAsia="黑体" w:cs="黑体"/>
          <w:kern w:val="2"/>
          <w:sz w:val="32"/>
          <w:szCs w:val="32"/>
          <w:lang w:val="en-US" w:eastAsia="zh-CN"/>
        </w:rPr>
      </w:pPr>
      <w:r>
        <w:rPr>
          <w:rFonts w:hint="default" w:ascii="黑体" w:hAnsi="黑体" w:eastAsia="黑体" w:cs="黑体"/>
          <w:kern w:val="2"/>
          <w:sz w:val="32"/>
          <w:szCs w:val="32"/>
          <w:lang w:val="en-US" w:eastAsia="zh-CN"/>
        </w:rPr>
        <w:t>十二、其他需说明的事项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2025年，新疆国际博览事务局安排</w:t>
      </w:r>
      <w:r>
        <w:rPr>
          <w:rFonts w:hint="default" w:ascii="Times New Roman" w:hAnsi="Times New Roman" w:eastAsia="仿宋_GB2312" w:cs="Times New Roman"/>
          <w:kern w:val="2"/>
          <w:sz w:val="32"/>
          <w:szCs w:val="32"/>
          <w:lang w:val="en-US" w:eastAsia="zh-CN"/>
        </w:rPr>
        <w:t>sm项目1个，</w:t>
      </w:r>
      <w:r>
        <w:rPr>
          <w:rFonts w:hint="eastAsia" w:ascii="Times New Roman" w:hAnsi="Times New Roman" w:eastAsia="仿宋_GB2312" w:cs="Times New Roman"/>
          <w:kern w:val="2"/>
          <w:sz w:val="32"/>
          <w:szCs w:val="32"/>
          <w:lang w:val="en-US" w:eastAsia="zh-CN"/>
        </w:rPr>
        <w:t>预算</w:t>
      </w:r>
      <w:r>
        <w:rPr>
          <w:rFonts w:hint="default" w:ascii="Times New Roman" w:hAnsi="Times New Roman" w:eastAsia="仿宋_GB2312" w:cs="Times New Roman"/>
          <w:kern w:val="2"/>
          <w:sz w:val="32"/>
          <w:szCs w:val="32"/>
          <w:lang w:val="en-US" w:eastAsia="zh-CN"/>
        </w:rPr>
        <w:t>金额43.71万元</w:t>
      </w:r>
      <w:r>
        <w:rPr>
          <w:rFonts w:hint="eastAsia" w:ascii="Times New Roman" w:hAnsi="Times New Roman" w:eastAsia="仿宋_GB2312" w:cs="Times New Roman"/>
          <w:kern w:val="2"/>
          <w:sz w:val="32"/>
          <w:szCs w:val="32"/>
          <w:lang w:val="en-US" w:eastAsia="zh-CN"/>
        </w:rPr>
        <w:t>，执行金额43.71万元，为一般公共预算资金安排项目。</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0"/>
        <w:rPr>
          <w:rFonts w:hint="default" w:ascii="黑体" w:eastAsia="黑体"/>
          <w:b w:val="0"/>
          <w:sz w:val="32"/>
          <w:szCs w:val="32"/>
          <w:lang w:val="en-US" w:eastAsia="zh-CN"/>
        </w:rPr>
      </w:pPr>
      <w:r>
        <w:rPr>
          <w:rFonts w:hint="default" w:ascii="黑体" w:eastAsia="黑体"/>
          <w:b w:val="0"/>
          <w:sz w:val="32"/>
          <w:szCs w:val="32"/>
          <w:lang w:val="en-US" w:eastAsia="zh-CN"/>
        </w:rPr>
        <w:t>第三部分 专业名词解释</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一、财政拨款收入：</w:t>
      </w:r>
      <w:r>
        <w:rPr>
          <w:rFonts w:hint="default" w:ascii="Times New Roman" w:hAnsi="Times New Roman" w:eastAsia="仿宋_GB2312" w:cs="Times New Roman"/>
          <w:kern w:val="2"/>
          <w:sz w:val="32"/>
          <w:szCs w:val="32"/>
          <w:lang w:val="en-US" w:eastAsia="zh-CN"/>
        </w:rPr>
        <w:t>指单位本年度从同级财政部门取得的财政拨款，包括一般公共预算财政拨款、政府性基金预算财政拨款和国有资本经营预算财政拨款。</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二、上级补助收入：</w:t>
      </w:r>
      <w:r>
        <w:rPr>
          <w:rFonts w:hint="default" w:ascii="Times New Roman" w:hAnsi="Times New Roman" w:eastAsia="仿宋_GB2312" w:cs="Times New Roman"/>
          <w:kern w:val="2"/>
          <w:sz w:val="32"/>
          <w:szCs w:val="32"/>
          <w:lang w:val="en-US" w:eastAsia="zh-CN"/>
        </w:rPr>
        <w:t>指事业单位从主管部门和上级单位取得的非财政补助收入。</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三、事业收入：</w:t>
      </w:r>
      <w:r>
        <w:rPr>
          <w:rFonts w:hint="default" w:ascii="Times New Roman" w:hAnsi="Times New Roman" w:eastAsia="仿宋_GB2312" w:cs="Times New Roman"/>
          <w:kern w:val="2"/>
          <w:sz w:val="32"/>
          <w:szCs w:val="32"/>
          <w:lang w:val="en-US" w:eastAsia="zh-CN"/>
        </w:rPr>
        <w:t>指事业单位开展专业业务活动及其辅助活动取得的收入。</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四、经营收入：</w:t>
      </w:r>
      <w:r>
        <w:rPr>
          <w:rFonts w:hint="default" w:ascii="Times New Roman" w:hAnsi="Times New Roman" w:eastAsia="仿宋_GB2312" w:cs="Times New Roman"/>
          <w:kern w:val="2"/>
          <w:sz w:val="32"/>
          <w:szCs w:val="32"/>
          <w:lang w:val="en-US" w:eastAsia="zh-CN"/>
        </w:rPr>
        <w:t>指事业单位在专业业务活动及其辅助活动之外开展非独立核算经营活动取得的收入。</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五、附属单位上缴收入：</w:t>
      </w:r>
      <w:r>
        <w:rPr>
          <w:rFonts w:hint="default" w:ascii="Times New Roman" w:hAnsi="Times New Roman" w:eastAsia="仿宋_GB2312" w:cs="Times New Roman"/>
          <w:kern w:val="2"/>
          <w:sz w:val="32"/>
          <w:szCs w:val="32"/>
          <w:lang w:val="en-US" w:eastAsia="zh-CN"/>
        </w:rPr>
        <w:t>指事业单位附属独立核算单位按照有关规定上缴的收入。</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六、其他收入：</w:t>
      </w:r>
      <w:r>
        <w:rPr>
          <w:rFonts w:hint="default" w:ascii="Times New Roman" w:hAnsi="Times New Roman" w:eastAsia="仿宋_GB2312" w:cs="Times New Roman"/>
          <w:kern w:val="2"/>
          <w:sz w:val="32"/>
          <w:szCs w:val="32"/>
          <w:lang w:val="en-US" w:eastAsia="zh-CN"/>
        </w:rPr>
        <w:t>指单位取得的除上述“财政拨款收入”“上级补助收入”“事业收入”“经营收入”“附属单位上缴收入”以外的各项收入。</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七、年初结转和结余：</w:t>
      </w:r>
      <w:r>
        <w:rPr>
          <w:rFonts w:hint="default" w:ascii="Times New Roman" w:hAnsi="Times New Roman" w:eastAsia="仿宋_GB2312" w:cs="Times New Roman"/>
          <w:kern w:val="2"/>
          <w:sz w:val="32"/>
          <w:szCs w:val="32"/>
          <w:lang w:val="en-US" w:eastAsia="zh-CN"/>
        </w:rPr>
        <w:t>指单位上年结转本年使用的基本支出结转、项目支出结转和结余、经营结余。</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八、使用非财政拨款结余（含专用结余）：</w:t>
      </w:r>
      <w:r>
        <w:rPr>
          <w:rFonts w:hint="default" w:ascii="Times New Roman" w:hAnsi="Times New Roman" w:eastAsia="仿宋_GB2312" w:cs="Times New Roman"/>
          <w:kern w:val="2"/>
          <w:sz w:val="32"/>
          <w:szCs w:val="32"/>
          <w:lang w:val="en-US" w:eastAsia="zh-CN"/>
        </w:rPr>
        <w:t>指单位按照预算管理要求使用非财政拨款结余弥补收支差额的金额，以及使用专用结余安排支出的金额。</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九、结余分配：</w:t>
      </w:r>
      <w:r>
        <w:rPr>
          <w:rFonts w:hint="default" w:ascii="Times New Roman" w:hAnsi="Times New Roman" w:eastAsia="仿宋_GB2312" w:cs="Times New Roman"/>
          <w:kern w:val="2"/>
          <w:sz w:val="32"/>
          <w:szCs w:val="32"/>
          <w:lang w:val="en-US" w:eastAsia="zh-CN"/>
        </w:rPr>
        <w:t>指单位缴纳企业所得税以及从非财政拨款结余或经营结余中提取各类结余的情况。</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十、年末结转和结余：</w:t>
      </w:r>
      <w:r>
        <w:rPr>
          <w:rFonts w:hint="default" w:ascii="Times New Roman" w:hAnsi="Times New Roman" w:eastAsia="仿宋_GB2312" w:cs="Times New Roman"/>
          <w:kern w:val="2"/>
          <w:sz w:val="32"/>
          <w:szCs w:val="32"/>
          <w:lang w:val="en-US" w:eastAsia="zh-CN"/>
        </w:rPr>
        <w:t>指单位结转下年的基本支出结转、项目支出结转和结余、经营结余。</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十一、基本支出：</w:t>
      </w:r>
      <w:r>
        <w:rPr>
          <w:rFonts w:hint="default" w:ascii="Times New Roman" w:hAnsi="Times New Roman" w:eastAsia="仿宋_GB2312" w:cs="Times New Roman"/>
          <w:kern w:val="2"/>
          <w:sz w:val="32"/>
          <w:szCs w:val="32"/>
          <w:lang w:val="en-US" w:eastAsia="zh-CN"/>
        </w:rPr>
        <w:t>指单位为保障机构正常运转、完成日常工作任务而发生的各项支出。</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十二、项目支出：</w:t>
      </w:r>
      <w:r>
        <w:rPr>
          <w:rFonts w:hint="default" w:ascii="Times New Roman" w:hAnsi="Times New Roman" w:eastAsia="仿宋_GB2312" w:cs="Times New Roman"/>
          <w:kern w:val="2"/>
          <w:sz w:val="32"/>
          <w:szCs w:val="32"/>
          <w:lang w:val="en-US" w:eastAsia="zh-CN"/>
        </w:rPr>
        <w:t>指单位为完成特定的行政工作任务或事业发展目标，在基本支出之外发生的各项支出。</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十三、上缴上级支出：</w:t>
      </w:r>
      <w:r>
        <w:rPr>
          <w:rFonts w:hint="default" w:ascii="Times New Roman" w:hAnsi="Times New Roman" w:eastAsia="仿宋_GB2312" w:cs="Times New Roman"/>
          <w:kern w:val="2"/>
          <w:sz w:val="32"/>
          <w:szCs w:val="32"/>
          <w:lang w:val="en-US" w:eastAsia="zh-CN"/>
        </w:rPr>
        <w:t>指事业单位按照财政部门和主管部门的规定上缴上级单位的支出。</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十四、经营支出：</w:t>
      </w:r>
      <w:r>
        <w:rPr>
          <w:rFonts w:hint="default" w:ascii="Times New Roman" w:hAnsi="Times New Roman" w:eastAsia="仿宋_GB2312" w:cs="Times New Roman"/>
          <w:kern w:val="2"/>
          <w:sz w:val="32"/>
          <w:szCs w:val="32"/>
          <w:lang w:val="en-US" w:eastAsia="zh-CN"/>
        </w:rPr>
        <w:t>指事业单位在专业活动及辅助活动之外开展非独立核算经营活动发生的支出。</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十五、对附属单位补助支出：</w:t>
      </w:r>
      <w:r>
        <w:rPr>
          <w:rFonts w:hint="default" w:ascii="Times New Roman" w:hAnsi="Times New Roman" w:eastAsia="仿宋_GB2312" w:cs="Times New Roman"/>
          <w:kern w:val="2"/>
          <w:sz w:val="32"/>
          <w:szCs w:val="32"/>
          <w:lang w:val="en-US" w:eastAsia="zh-CN"/>
        </w:rPr>
        <w:t>指事业单位用财政补助收入之外的收入对附属单位补助发生的支出。</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十六、“三公”经费：</w:t>
      </w:r>
      <w:r>
        <w:rPr>
          <w:rFonts w:hint="default" w:ascii="Times New Roman" w:hAnsi="Times New Roman" w:eastAsia="仿宋_GB2312" w:cs="Times New Roman"/>
          <w:kern w:val="2"/>
          <w:sz w:val="32"/>
          <w:szCs w:val="32"/>
          <w:lang w:val="en-US"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十七、机关运行经费：</w:t>
      </w:r>
      <w:r>
        <w:rPr>
          <w:rFonts w:hint="default" w:ascii="Times New Roman" w:hAnsi="Times New Roman" w:eastAsia="仿宋_GB2312" w:cs="Times New Roman"/>
          <w:kern w:val="2"/>
          <w:sz w:val="32"/>
          <w:szCs w:val="32"/>
          <w:lang w:val="en-US" w:eastAsia="zh-CN"/>
        </w:rPr>
        <w:t>指行政单位和参照公务员法管理的事业单位财政拨款基本支出中的公用经费支出。</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0"/>
        <w:rPr>
          <w:rFonts w:hint="default" w:ascii="黑体" w:eastAsia="黑体"/>
          <w:b w:val="0"/>
          <w:sz w:val="32"/>
          <w:szCs w:val="32"/>
          <w:lang w:val="en-US" w:eastAsia="zh-CN"/>
        </w:rPr>
      </w:pPr>
      <w:r>
        <w:rPr>
          <w:rFonts w:hint="default" w:ascii="黑体" w:eastAsia="黑体"/>
          <w:b w:val="0"/>
          <w:sz w:val="32"/>
          <w:szCs w:val="32"/>
          <w:lang w:val="en-US" w:eastAsia="zh-CN"/>
        </w:rPr>
        <w:t>第四部分 部门决算报表（见附表）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一、《收入支出决算总表》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二、《收入决算表》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三、《支出决算表》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四、《财政拨款收入支出决算总表》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五、《一般公共预算财政拨款支出决算表》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六、《一般公共预算财政拨款基本支出决算表》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七、《政府性基金预算财政拨款收入支出决算表》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八、《国有资本经营预算财政拨款收入支出决算表》</w:t>
      </w:r>
    </w:p>
    <w:p>
      <w:pPr>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default" w:ascii="Times New Roman" w:hAnsi="Times New Roman" w:eastAsia="仿宋_GB2312" w:cs="Times New Roman"/>
          <w:kern w:val="2"/>
          <w:sz w:val="32"/>
          <w:szCs w:val="32"/>
          <w:lang w:val="en-US"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Microsoft YaHei UI">
    <w:panose1 w:val="020B0503020204020204"/>
    <w:charset w:val="86"/>
    <w:family w:val="auto"/>
    <w:pitch w:val="default"/>
    <w:sig w:usb0="80000287" w:usb1="2ACF3C50" w:usb2="00000016" w:usb3="00000000" w:csb0="0004001F" w:csb1="00000000"/>
  </w:font>
  <w:font w:name="MS UI 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E33B19"/>
    <w:rsid w:val="13E01BF9"/>
    <w:rsid w:val="20383823"/>
    <w:rsid w:val="29BB5BA7"/>
    <w:rsid w:val="2DFE3957"/>
    <w:rsid w:val="37DF55E6"/>
    <w:rsid w:val="5B436232"/>
    <w:rsid w:val="6950045C"/>
    <w:rsid w:val="6FA93814"/>
    <w:rsid w:val="740169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6623</Words>
  <Characters>7466</Characters>
  <TotalTime>30</TotalTime>
  <ScaleCrop>false</ScaleCrop>
  <LinksUpToDate>false</LinksUpToDate>
  <CharactersWithSpaces>7473</CharactersWithSpaces>
  <Application>WPS Office_11.8.2.12094_F1E327BC-269C-435d-A152-05C5408002CA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2026-08-20T11:06:00Z</dcterms:created>
  <dc:creator>Administrator</dc:creator>
  <cp:lastModifiedBy>Administrator</cp:lastModifiedBy>
  <dcterms:modified xsi:type="dcterms:W3CDTF">2026-08-25T11:08:01Z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DD9B079C98F64BD0B10DC4AE032E6324</vt:lpwstr>
  </property>
</Properties>
</file>