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Times New Roman" w:hAnsi="Times New Roman" w:eastAsia="宋体"/>
          <w:sz w:val="32"/>
          <w:szCs w:val="32"/>
        </w:rPr>
      </w:pPr>
    </w:p>
    <w:p>
      <w:pPr>
        <w:widowControl/>
        <w:spacing w:before="0" w:beforeLines="0" w:beforeAutospacing="0" w:after="0" w:afterLines="0" w:afterAutospacing="0" w:line="240" w:lineRule="auto"/>
        <w:jc w:val="left"/>
        <w:rPr>
          <w:rFonts w:ascii="Times New Roman" w:hAnsi="Times New Roman" w:eastAsia="宋体"/>
          <w:sz w:val="44"/>
          <w:szCs w:val="44"/>
        </w:rPr>
      </w:pPr>
    </w:p>
    <w:p>
      <w:pPr>
        <w:widowControl/>
        <w:spacing w:before="0" w:beforeLines="0" w:beforeAutospacing="0" w:after="0" w:afterLines="0" w:afterAutospacing="0" w:line="240" w:lineRule="auto"/>
        <w:jc w:val="left"/>
        <w:rPr>
          <w:rFonts w:ascii="Times New Roman" w:hAnsi="Times New Roman" w:eastAsia="宋体"/>
          <w:sz w:val="44"/>
          <w:szCs w:val="44"/>
        </w:rPr>
      </w:pPr>
    </w:p>
    <w:p>
      <w:pPr>
        <w:widowControl/>
        <w:spacing w:before="0" w:beforeLines="0" w:beforeAutospacing="0" w:after="0" w:afterLines="0" w:afterAutospacing="0" w:line="240" w:lineRule="auto"/>
        <w:jc w:val="left"/>
        <w:rPr>
          <w:rFonts w:ascii="Times New Roman" w:hAnsi="Times New Roman" w:eastAsia="宋体"/>
          <w:sz w:val="44"/>
          <w:szCs w:val="44"/>
        </w:rPr>
      </w:pPr>
    </w:p>
    <w:p>
      <w:pPr>
        <w:widowControl/>
        <w:spacing w:before="0" w:beforeLines="0" w:beforeAutospacing="0" w:after="0" w:afterLines="0" w:afterAutospacing="0" w:line="240" w:lineRule="auto"/>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sz w:val="44"/>
          <w:szCs w:val="44"/>
        </w:rPr>
        <w:t>新疆维吾尔自治区口岸发展促进中心</w:t>
      </w:r>
    </w:p>
    <w:p>
      <w:pPr>
        <w:widowControl/>
        <w:spacing w:before="0" w:beforeLines="0" w:beforeAutospacing="0" w:after="0" w:afterLines="0" w:afterAutospacing="0" w:line="240" w:lineRule="auto"/>
        <w:jc w:val="center"/>
        <w:outlineLvl w:val="0"/>
        <w:rPr>
          <w:rFonts w:ascii="Times New Roman" w:hAnsi="Times New Roman" w:eastAsia="黑体"/>
          <w:sz w:val="44"/>
          <w:szCs w:val="44"/>
        </w:rPr>
      </w:pPr>
      <w:r>
        <w:rPr>
          <w:rFonts w:hint="eastAsia" w:ascii="方正小标宋简体" w:hAnsi="方正小标宋简体" w:eastAsia="方正小标宋简体" w:cs="方正小标宋简体"/>
          <w:b w:val="0"/>
          <w:sz w:val="44"/>
          <w:szCs w:val="44"/>
        </w:rPr>
        <w:t>2025年度部门决算公开说明</w:t>
      </w:r>
    </w:p>
    <w:p>
      <w:pPr>
        <w:widowControl/>
        <w:rPr>
          <w:rFonts w:ascii="Times New Roman" w:hAnsi="Times New Roman"/>
        </w:rPr>
      </w:pPr>
      <w:r>
        <w:rPr>
          <w:rFonts w:ascii="Times New Roman" w:hAnsi="Times New Roman"/>
          <w:b w:val="0"/>
          <w:sz w:val="0"/>
          <w:szCs w:val="0"/>
        </w:rPr>
        <w:br w:type="page"/>
      </w:r>
    </w:p>
    <w:p>
      <w:pPr>
        <w:widowControl/>
        <w:spacing w:before="0" w:beforeLines="0" w:beforeAutospacing="0" w:after="0" w:afterLines="0" w:afterAutospacing="0" w:line="240" w:lineRule="auto"/>
        <w:jc w:val="center"/>
        <w:rPr>
          <w:rFonts w:ascii="Times New Roman" w:hAnsi="Times New Roman" w:eastAsia="黑体"/>
          <w:sz w:val="32"/>
          <w:szCs w:val="32"/>
        </w:rPr>
      </w:pPr>
      <w:r>
        <w:rPr>
          <w:rFonts w:ascii="Times New Roman" w:hAnsi="Times New Roman" w:eastAsia="黑体"/>
          <w:b/>
          <w:sz w:val="32"/>
          <w:szCs w:val="32"/>
        </w:rPr>
        <w:t>目 录</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sz w:val="32"/>
          <w:szCs w:val="32"/>
        </w:rPr>
        <w:t>第一部分</w:t>
      </w:r>
      <w:r>
        <w:rPr>
          <w:rFonts w:hint="eastAsia" w:ascii="Times New Roman" w:hAnsi="Times New Roman" w:eastAsia="仿宋_GB2312"/>
          <w:b/>
          <w:sz w:val="32"/>
          <w:szCs w:val="32"/>
          <w:lang w:val="en-US" w:eastAsia="zh-CN"/>
        </w:rPr>
        <w:t xml:space="preserve"> </w:t>
      </w:r>
      <w:r>
        <w:rPr>
          <w:rFonts w:ascii="Times New Roman" w:hAnsi="Times New Roman" w:eastAsia="仿宋_GB2312"/>
          <w:b/>
          <w:sz w:val="32"/>
          <w:szCs w:val="32"/>
        </w:rPr>
        <w:t>单位概况</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一、主要职能</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二、机构设置</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sz w:val="32"/>
          <w:szCs w:val="32"/>
        </w:rPr>
        <w:t>第二部分 部门决算情况说明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二、收入决算情况说明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三、支出决算情况说明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十、其他重要事项的情况说明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（二）政府采购情况</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（三）国有资产占用情况说明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十一、预算绩效的情况说明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十二、其他需说明的事项</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sz w:val="32"/>
          <w:szCs w:val="32"/>
        </w:rPr>
        <w:t>第三部分 专业名词解释</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sz w:val="32"/>
          <w:szCs w:val="32"/>
        </w:rPr>
        <w:t>第四部分 部门决算报表（见附表）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一、《收入支出决算总表》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二、《收入决算表》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三、《支出决算表》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九、《财政拨款“三公”经费支出决算表》</w:t>
      </w:r>
    </w:p>
    <w:p>
      <w:pPr>
        <w:widowControl/>
        <w:rPr>
          <w:rFonts w:ascii="Times New Roman" w:hAnsi="Times New Roman"/>
        </w:rPr>
      </w:pPr>
      <w:r>
        <w:rPr>
          <w:rFonts w:ascii="Times New Roman" w:hAnsi="Times New Roman"/>
          <w:b w:val="0"/>
          <w:sz w:val="0"/>
          <w:szCs w:val="0"/>
        </w:rPr>
        <w:br w:type="page"/>
      </w:r>
    </w:p>
    <w:p>
      <w:pPr>
        <w:widowControl/>
        <w:spacing w:before="0" w:beforeLines="0" w:beforeAutospacing="0" w:after="0" w:afterLines="0" w:afterAutospacing="0" w:line="240" w:lineRule="auto"/>
        <w:jc w:val="center"/>
        <w:outlineLvl w:val="0"/>
        <w:rPr>
          <w:rFonts w:ascii="Times New Roman" w:hAnsi="Times New Roman" w:eastAsia="黑体"/>
          <w:sz w:val="32"/>
          <w:szCs w:val="32"/>
        </w:rPr>
      </w:pPr>
      <w:r>
        <w:rPr>
          <w:rFonts w:ascii="Times New Roman" w:hAnsi="Times New Roman"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新疆维吾尔自治区口岸发展促进中心承担电子口岸应用项目的规划、建设，新疆国际贸易“单一窗口”本地特色应用项目开发；负责口岸货运量、贸易额数据的采集、汇总分析；开展口岸经济发展政策研究和市场调查等工作。</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二、机构设置</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新疆维吾尔自治区口岸发展促进中心无下属预算单位。</w:t>
      </w:r>
    </w:p>
    <w:p>
      <w:pPr>
        <w:widowControl/>
        <w:rPr>
          <w:rFonts w:ascii="Times New Roman" w:hAnsi="Times New Roman"/>
        </w:rPr>
      </w:pPr>
      <w:r>
        <w:rPr>
          <w:rFonts w:ascii="Times New Roman" w:hAnsi="Times New Roman"/>
          <w:b w:val="0"/>
          <w:sz w:val="0"/>
          <w:szCs w:val="0"/>
        </w:rPr>
        <w:br w:type="page"/>
      </w:r>
    </w:p>
    <w:p>
      <w:pPr>
        <w:widowControl/>
        <w:spacing w:before="0" w:beforeLines="0" w:beforeAutospacing="0" w:after="0" w:afterLines="0" w:afterAutospacing="0" w:line="240" w:lineRule="auto"/>
        <w:jc w:val="center"/>
        <w:outlineLvl w:val="0"/>
        <w:rPr>
          <w:rFonts w:ascii="Times New Roman" w:hAnsi="Times New Roman" w:eastAsia="黑体"/>
          <w:sz w:val="32"/>
          <w:szCs w:val="32"/>
        </w:rPr>
      </w:pPr>
      <w:r>
        <w:rPr>
          <w:rFonts w:ascii="Times New Roman" w:hAnsi="Times New Roman"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2025年度收入总计535.20万元，其中：本年收入合计531.68万元，使用非财政拨款结余（含专用结余）0.00万元，年初结转和结余3.52万元。</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2025年度支出总计535.20万元，其中：本年支出合计532.15万元，结余分配0.00万元，年末结转和结余3.06万元。</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收入支出总体与上年相比，增加368.31万元，增长220.69%，主要原因是：2025年新增中国（新疆）国际贸易“单一窗口”平台建设项目经费300.00万元，本年度新增人员1名，同时年中追加记实2025年职业年金单位缴费等人员经费，人员经费较上年增加141.59万元。</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本年收入531.68万元，其中：财政拨款收入531.68万元,占100.00%；上级补助收入0.00万元,占0.00%；事业收入0.00万元，占0.00%；经营收入0.00万元,占0.00%；附属单位上缴收入0.00万元，占0.00%；其他收入0.00万元，占0.00%。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本年支出532.15万元，其中：基本支出232.15万元，占43.62%；项目支出300.00万元，占56.38%；上缴上级支出0.00万元，占0.00%；经营支出0.00万元，占0.00%；对附属单位补助支出0.00万元，占0.00%。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2025年度财政拨款收入总计535.20万元，其中：年初财政拨款结转和结余3.52万元，本年财政拨款收入531.68万元。财政拨款支出总计535.20万元，其中：年末财政拨款结转和结余3.06万元，本年财政拨款支出532.14万元。</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财政拨款收入支出总体与上年相比，增加368.33万元，增长220.73%，主要原因是：2025年新增中国（新疆）国际贸易“单一窗口”平台建设项目经费300.00万元，本年度新增人员1名，同时年中追加记实2025年职业年金单位缴费等人员经费，人员经费较上年增加141.59万元。与年初预算相比，年初预算数200.96万元，决算数535.20万元，预决算差异率166.32%，主要原因是：</w:t>
      </w:r>
      <w:r>
        <w:rPr>
          <w:rFonts w:hint="eastAsia" w:ascii="Times New Roman" w:hAnsi="Times New Roman" w:eastAsia="仿宋_GB2312"/>
          <w:b w:val="0"/>
          <w:sz w:val="32"/>
          <w:szCs w:val="32"/>
        </w:rPr>
        <w:t>年中追加中国（新疆）国际贸易“单一窗口”平台建设项目经费、记实2025年职业年金单位缴费等333.13万元</w:t>
      </w:r>
      <w:r>
        <w:rPr>
          <w:rFonts w:ascii="Times New Roman" w:hAnsi="Times New Roman"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按照党中央、国务院关于党政机关习惯过紧日子的有关要求，厉行节约办一切事业，严控一般性支出。同时坚持有保有压，优化支出结构，提高资金使用效率，合理保障中国（新疆）国际贸易“单一窗口”平台建设、干部职工履职保障、单位日常办公运转等重点支出，体现在有关支出科目中。</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按照支出功能分类，一般公共服务支出（类）商贸事务（款）其他商贸事务支出（项）的支出占本年财政拨款支出总额的比重最高，2025年度决算数为300.00万元，占比56.38%，主要用于中国（新疆）国际贸易“单一窗口”平台建设。</w:t>
      </w:r>
    </w:p>
    <w:p>
      <w:pPr>
        <w:widowControl/>
        <w:spacing w:before="0" w:beforeLines="0" w:beforeAutospacing="0" w:after="0" w:afterLines="0" w:afterAutospacing="0" w:line="240" w:lineRule="auto"/>
        <w:ind w:firstLine="640" w:firstLineChars="200"/>
        <w:jc w:val="both"/>
        <w:outlineLvl w:val="2"/>
        <w:rPr>
          <w:rFonts w:ascii="Times New Roman" w:hAnsi="Times New Roman" w:eastAsia="黑体"/>
          <w:sz w:val="32"/>
          <w:szCs w:val="32"/>
        </w:rPr>
      </w:pPr>
      <w:r>
        <w:rPr>
          <w:rFonts w:ascii="Times New Roman" w:hAnsi="Times New Roman"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hint="eastAsia" w:ascii="Times New Roman" w:hAnsi="Times New Roman" w:eastAsia="仿宋_GB2312"/>
          <w:sz w:val="32"/>
          <w:szCs w:val="32"/>
          <w:lang w:val="en-US" w:eastAsia="zh-CN"/>
        </w:rPr>
      </w:pPr>
      <w:r>
        <w:rPr>
          <w:rFonts w:ascii="Times New Roman" w:hAnsi="Times New Roman" w:eastAsia="仿宋_GB2312"/>
          <w:b w:val="0"/>
          <w:sz w:val="32"/>
          <w:szCs w:val="32"/>
        </w:rPr>
        <w:t>2025年度一般公共预算财政拨款支出532.14万元，占本年支出合计的100.00%。与上年相比，增加368.79万元，增长225.77%，主要原因是：2025年新增中国（新疆）国际贸易“单一窗口”平台建设项目经费300.00万元，本年度新增人员1名，同时年中追加记实2025年职业年金单位缴费等人员经费，人员经费较上年增加141.59万元。与年初预算相比，年初预算数200.96万元，决算数532.14万元，预决算差异率164.80%，主要原因是：</w:t>
      </w:r>
      <w:r>
        <w:rPr>
          <w:rFonts w:hint="eastAsia" w:ascii="Times New Roman" w:hAnsi="Times New Roman" w:eastAsia="仿宋_GB2312"/>
          <w:b w:val="0"/>
          <w:sz w:val="32"/>
          <w:szCs w:val="32"/>
        </w:rPr>
        <w:t>年中追加中国（新疆）国际贸易“单一窗口”平台建设项目经费、记实2025年职业年金单位缴费等333.13万元</w:t>
      </w:r>
      <w:r>
        <w:rPr>
          <w:rFonts w:hint="eastAsia" w:ascii="Times New Roman" w:hAnsi="Times New Roman" w:eastAsia="仿宋_GB2312"/>
          <w:b w:val="0"/>
          <w:sz w:val="32"/>
          <w:szCs w:val="32"/>
          <w:lang w:eastAsia="zh-CN"/>
        </w:rPr>
        <w:t>。</w:t>
      </w:r>
    </w:p>
    <w:p>
      <w:pPr>
        <w:widowControl/>
        <w:spacing w:before="0" w:beforeLines="0" w:beforeAutospacing="0" w:after="0" w:afterLines="0" w:afterAutospacing="0" w:line="240" w:lineRule="auto"/>
        <w:ind w:firstLine="640" w:firstLineChars="200"/>
        <w:jc w:val="left"/>
        <w:outlineLvl w:val="2"/>
        <w:rPr>
          <w:rFonts w:ascii="Times New Roman" w:hAnsi="Times New Roman" w:eastAsia="黑体"/>
          <w:sz w:val="32"/>
          <w:szCs w:val="32"/>
        </w:rPr>
      </w:pPr>
      <w:r>
        <w:rPr>
          <w:rFonts w:ascii="Times New Roman" w:hAnsi="Times New Roman"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1.一般公共服务支出（类）461.56万元，占86.74%。</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2.社会保障和就业支出（类）32.11万元，占6.03%。</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3.卫生健康支出（类）20.69万元，占3.89%。</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4.住房保障支出（类）17.79万元，占3.34%。</w:t>
      </w:r>
    </w:p>
    <w:p>
      <w:pPr>
        <w:widowControl/>
        <w:spacing w:before="0" w:beforeLines="0" w:beforeAutospacing="0" w:after="0" w:afterLines="0" w:afterAutospacing="0" w:line="240" w:lineRule="auto"/>
        <w:ind w:firstLine="640" w:firstLineChars="200"/>
        <w:jc w:val="left"/>
        <w:outlineLvl w:val="2"/>
        <w:rPr>
          <w:rFonts w:ascii="Times New Roman" w:hAnsi="Times New Roman" w:eastAsia="黑体"/>
          <w:sz w:val="32"/>
          <w:szCs w:val="32"/>
        </w:rPr>
      </w:pPr>
      <w:r>
        <w:rPr>
          <w:rFonts w:ascii="Times New Roman" w:hAnsi="Times New Roman" w:eastAsia="黑体"/>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sz w:val="32"/>
          <w:szCs w:val="32"/>
        </w:rPr>
      </w:pPr>
      <w:r>
        <w:rPr>
          <w:rFonts w:ascii="Times New Roman" w:hAnsi="Times New Roman" w:eastAsia="仿宋_GB2312"/>
          <w:b w:val="0"/>
          <w:sz w:val="32"/>
          <w:szCs w:val="32"/>
        </w:rPr>
        <w:t>1、一般公共服务支出（类）商贸事务（款）事业运行（项）：支出决算数为161.56万元，比上年决算增加87.89万元，增长119.30%，主要原因是：2025年新增人员1名，人员及公用经费相应增加。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sz w:val="32"/>
          <w:szCs w:val="32"/>
        </w:rPr>
      </w:pPr>
      <w:r>
        <w:rPr>
          <w:rFonts w:ascii="Times New Roman" w:hAnsi="Times New Roman" w:eastAsia="仿宋_GB2312"/>
          <w:b w:val="0"/>
          <w:sz w:val="32"/>
          <w:szCs w:val="32"/>
        </w:rPr>
        <w:t>2、一般公共服务支出（类）商贸事务（款）其他商贸事务支出（项）：支出决算数为300.00万元，比上年决算增加231.08万元，增长335.29%，主要原因是：2025年新增中国（新疆）国际贸易“单一窗口”平台建设项目经费300万元，上年安排的办公设备购置项目本年度再未安排。</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sz w:val="32"/>
          <w:szCs w:val="32"/>
        </w:rPr>
      </w:pPr>
      <w:r>
        <w:rPr>
          <w:rFonts w:ascii="Times New Roman" w:hAnsi="Times New Roman" w:eastAsia="仿宋_GB2312"/>
          <w:b w:val="0"/>
          <w:sz w:val="32"/>
          <w:szCs w:val="32"/>
        </w:rPr>
        <w:t>3、社会保障和就业支出（类）行政事业单位养老支出（款）机关事业单位基本养老保险缴费支出（项）：支出决算数为21.13万元，比上年决算增加13.61万元，增长180.98%，主要原因是：2025年新增人员1名，同时社保缴费基数上调，导致基本养老保险缴费支出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sz w:val="32"/>
          <w:szCs w:val="32"/>
        </w:rPr>
      </w:pPr>
      <w:r>
        <w:rPr>
          <w:rFonts w:ascii="Times New Roman" w:hAnsi="Times New Roman" w:eastAsia="仿宋_GB2312"/>
          <w:b w:val="0"/>
          <w:sz w:val="32"/>
          <w:szCs w:val="32"/>
        </w:rPr>
        <w:t>4、社会保障和就业支出（类）行政事业单位养老支出（款）机关事业单位职业年金缴费支出（项）：支出决算数为10.98万元，比上年决算增加10.98万元，增长100.00%，主要原因是：2025年新增记实2025年职业年金单位缴费10.98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sz w:val="32"/>
          <w:szCs w:val="32"/>
        </w:rPr>
      </w:pPr>
      <w:r>
        <w:rPr>
          <w:rFonts w:ascii="Times New Roman" w:hAnsi="Times New Roman" w:eastAsia="仿宋_GB2312"/>
          <w:b w:val="0"/>
          <w:sz w:val="32"/>
          <w:szCs w:val="32"/>
        </w:rPr>
        <w:t>5、卫生健康支出（类）行政事业单位医疗（款）事业单位医疗（项）：支出决算数为11.41万元，比上年决算增加7.79万元，增长215.19%，主要原因是：2025年新增人员1名，同时社保缴费基数上调，导致基本医疗保险支出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sz w:val="32"/>
          <w:szCs w:val="32"/>
        </w:rPr>
      </w:pPr>
      <w:r>
        <w:rPr>
          <w:rFonts w:ascii="Times New Roman" w:hAnsi="Times New Roman" w:eastAsia="仿宋_GB2312"/>
          <w:b w:val="0"/>
          <w:sz w:val="32"/>
          <w:szCs w:val="32"/>
        </w:rPr>
        <w:t>6、卫生健康支出（类）行政事业单位医疗（款）公务员医疗补助（项）：支出决算数为9.28万元，比上年决算增加5.99万元，增长182.07%，主要原因是：2025年新增人员1名，同时社保缴费基数上调，导致公务员医疗补助支出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sz w:val="32"/>
          <w:szCs w:val="32"/>
        </w:rPr>
      </w:pPr>
      <w:r>
        <w:rPr>
          <w:rFonts w:ascii="Times New Roman" w:hAnsi="Times New Roman" w:eastAsia="仿宋_GB2312"/>
          <w:b w:val="0"/>
          <w:sz w:val="32"/>
          <w:szCs w:val="32"/>
        </w:rPr>
        <w:t>7、住房保障支出（类）住房改革支出（款）住房公积金（项）：支出决算数为17.79万元，比上年决算增加11.45万元，增长180.60%，主要原因是：2025年新增人员1名，同时公积金缴费基数上调，导致住房公积金缴费支出增加。</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2025年度一般公共预算财政拨款基本支出232.14万元，其中：人员经费214.80万元，包括：基本工资、津贴补贴、奖金、绩效工资、机关事业单位基本养老保险缴费、职业年金缴费、职工基本医疗保险缴费、公务员医疗补助缴费、其他社会保障缴费和住房公积金。</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公用经费17.35万元，包括：办公费、印刷费、邮电费、差旅费、公务接待费、工会经费、福利费、公务用车运行维护费和其他商品和服务支出。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2025年度财政拨款“三公”经费支出3.30万元，比上年减少2.94万元，下降47.12%，主要原因是：严格执行厉行节约规定，公务用车报废后保有量减少，运行维护费减少，公务接待费用因业务需要略有增长。其中：因公出国（境）费用支出0.00万元,占0.00%，与上年相比无变化，主要原因是：上年及本年度均未安排因公出国（境）团组及相关支出；公务用车购置及运行维护费支出3.12万元，占94.55%，比上年减少3.12万元，下降50.00%，主要原因是：2024年初公务用车实有数为2辆，年末报废1辆，2025年公务用车保有量为1辆，运行维护费用相应减少；公务接待费支出0.18万元，占5.45%，比上年增加0.18万元，增长100%，主要原因是：因业务工作需要，本年度公务接待批次及人次较上年增加，所有接待均严格执行规定标准。</w:t>
      </w:r>
    </w:p>
    <w:p>
      <w:pPr>
        <w:widowControl/>
        <w:spacing w:before="0" w:beforeLines="0" w:beforeAutospacing="0" w:after="0" w:afterLines="0" w:afterAutospacing="0" w:line="240" w:lineRule="auto"/>
        <w:ind w:firstLine="640" w:firstLineChars="200"/>
        <w:jc w:val="left"/>
        <w:rPr>
          <w:rFonts w:ascii="Times New Roman" w:hAnsi="Times New Roman" w:eastAsia="仿宋_GB2312"/>
          <w:sz w:val="32"/>
          <w:szCs w:val="32"/>
        </w:rPr>
      </w:pPr>
      <w:r>
        <w:rPr>
          <w:rFonts w:ascii="Times New Roman" w:hAnsi="Times New Roman"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因公出国（境）费用0.00万元，开支内容包括</w:t>
      </w:r>
      <w:r>
        <w:rPr>
          <w:rFonts w:hint="eastAsia" w:ascii="Times New Roman" w:hAnsi="Times New Roman" w:eastAsia="仿宋_GB2312"/>
          <w:b w:val="0"/>
          <w:sz w:val="32"/>
          <w:szCs w:val="32"/>
        </w:rPr>
        <w:t>本年度未发生因公出国（境）支出</w:t>
      </w:r>
      <w:r>
        <w:rPr>
          <w:rFonts w:ascii="Times New Roman" w:hAnsi="Times New Roman" w:eastAsia="仿宋_GB2312"/>
          <w:b w:val="0"/>
          <w:sz w:val="32"/>
          <w:szCs w:val="32"/>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公务用车购置及运行维护费3.12万元，其中：公务用车购置费0.00万元，公务用车运行维护费3.12万元。公务用车运行维护费开支内容包括燃料费、维修费、保险费等日常运行维护支出。公务用车购置数0辆，公务用车保有量1辆。国有资产占用情况中固定资产车辆1辆，与公务用车保有量差异原因是：无差异。</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公务接待费0.18万元，开支内容包括接待国口办调研接待费</w:t>
      </w:r>
      <w:r>
        <w:rPr>
          <w:rFonts w:hint="eastAsia" w:ascii="Times New Roman" w:hAnsi="Times New Roman" w:eastAsia="仿宋_GB2312"/>
          <w:b w:val="0"/>
          <w:sz w:val="32"/>
          <w:szCs w:val="32"/>
          <w:lang w:eastAsia="zh-CN"/>
        </w:rPr>
        <w:t>等</w:t>
      </w:r>
      <w:r>
        <w:rPr>
          <w:rFonts w:ascii="Times New Roman" w:hAnsi="Times New Roman" w:eastAsia="仿宋_GB2312"/>
          <w:b w:val="0"/>
          <w:sz w:val="32"/>
          <w:szCs w:val="32"/>
        </w:rPr>
        <w:t>。单位全年安排的国内公务接待2批次，19人次。</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与全年预算相比，财政拨款“三公”经费支出全年预算数3.30万元，决算数3.30万元，预决算差异率0.00%，主要原因是：本年度严格按照年初预算执行“三公”经费支出，未超预算也无结余。其中：因公出国（境）费用全年预算数0.00万元，决算数0.00万元，预决算差异率0.00%，主要原因是：年初预算未安排因公出国（境）经费，本年度也未发生相关支出，预决算无差异；公务用车购置费全年预算数0.00万元，决算数0.00万元，预决算差异率0.00%，主要原因是：年初预算未安排公务用车购置费，本年度也未发生相关支出，预决算无差异；公务用车运行维护费全年预算数3.12万元，决算数3.12万元，预决算差异率0.00%，主要原因是：本年度严格按照预算控制公务用车运行维护支出，实际支出与预算金额一致，预决算无差异；公务接待费全年预算数0.18万元，决算数0.18万元，预决算差异率0.00%，主要原因是：本年度严格按照预算控制公务接待支出，所有接待均按规定标准执行，实际支出与预算金额一致，预决算无差异。</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Times New Roman" w:hAnsi="Times New Roman" w:eastAsia="黑体"/>
          <w:sz w:val="32"/>
          <w:szCs w:val="32"/>
        </w:rPr>
      </w:pPr>
      <w:r>
        <w:rPr>
          <w:rFonts w:ascii="Times New Roman" w:hAnsi="Times New Roman"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2025年度新疆维吾尔自治区口岸发展促进中心（事业单位）公用经费支出17.35万元，比上年增加比上年减少5.53万元，下降24.17%，主要原因是：2024年报废1辆公务用车后，2025年公务用车保有量1辆，运行维护费用相应减少。</w:t>
      </w:r>
    </w:p>
    <w:p>
      <w:pPr>
        <w:widowControl/>
        <w:spacing w:before="0" w:beforeLines="0" w:beforeAutospacing="0" w:after="0" w:afterLines="0" w:afterAutospacing="0" w:line="240" w:lineRule="auto"/>
        <w:ind w:firstLine="640" w:firstLineChars="200"/>
        <w:jc w:val="left"/>
        <w:outlineLvl w:val="2"/>
        <w:rPr>
          <w:rFonts w:ascii="Times New Roman" w:hAnsi="Times New Roman" w:eastAsia="黑体"/>
          <w:sz w:val="32"/>
          <w:szCs w:val="32"/>
        </w:rPr>
      </w:pPr>
      <w:r>
        <w:rPr>
          <w:rFonts w:ascii="Times New Roman" w:hAnsi="Times New Roman"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2025年度政府采购支出总额3.63万元，其中：政府采购货物支出0.76万元、政府采购工程支出0.00万元、政府采购服务支出2.87万元。</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授予中小企业合同金额0.96万元，占政府采购支出总额的26.45%，其中：授予小微企业合同金额0.55万元，占政府采购支出总额的15.15%。</w:t>
      </w:r>
    </w:p>
    <w:p>
      <w:pPr>
        <w:widowControl/>
        <w:spacing w:before="0" w:beforeLines="0" w:beforeAutospacing="0" w:after="0" w:afterLines="0" w:afterAutospacing="0" w:line="240" w:lineRule="auto"/>
        <w:ind w:firstLine="640" w:firstLineChars="200"/>
        <w:jc w:val="left"/>
        <w:outlineLvl w:val="2"/>
        <w:rPr>
          <w:rFonts w:ascii="Times New Roman" w:hAnsi="Times New Roman" w:eastAsia="黑体"/>
          <w:sz w:val="32"/>
          <w:szCs w:val="32"/>
        </w:rPr>
      </w:pPr>
      <w:r>
        <w:rPr>
          <w:rFonts w:ascii="Times New Roman" w:hAnsi="Times New Roman"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截至2025年12月31日，房屋0.00平方米，价值0.00万元。车辆1辆，价值17.45万元，其中：副部（省）级及以上领导用车0辆、主要负责人用车0辆、机要通信用车0辆、应急保障用车0辆、执法执勤用车0辆、特种专业技术用车0辆、离退休干部服务用车0辆、其他用车1辆，其他用车主要是：公务用车1辆;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根据预算绩效管理要求，本单位2025年度预算绩效评价项目2个，全年预算数610.20万元，全年执行数300.00万元。预算绩效管理取得的成效：一是严格执行预算绩效管理，中国（新疆）国际贸易“单一窗口”平台建设项目300.00万元资金全部执行完成，完成可行性研究报告（代项目建议书）编写、项目立项审批及监理招标相关工作，保障项目各项工作顺利实施；二是抓实项目全流程绩效监控，围绕中国（新疆）国际贸易“单一窗口”平台建设各阶段任务跟踪进度，圆满完成年度既定绩效目标，切实发挥财政资金使用效益。发现的问题及原因：一是绩效指标精细化水平有待提升，部分项目指标设置偏宏观，绩效监控的深度还不足；二是绩效评价结果转化运用不够到位，绩效自评结果和预算编制、项目安排的联动约束不够紧密。下一步改进措施：一是持续提升绩效指标编制质量，做实各类项目全过程绩效监控，强化过程跟踪管理；二是健全绩效结果应用机制，将绩效评价情况作为预算安排的重要参考，以绩效结果优化下一年度项目的筛选及绩效目标设定，提升整体财政资金使用效益。具体附项目支出绩效自评表。</w:t>
      </w:r>
      <w:bookmarkStart w:id="0" w:name="_GoBack"/>
      <w:bookmarkEnd w:id="0"/>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本单位无其他需说明的事项。</w:t>
      </w:r>
    </w:p>
    <w:p>
      <w:pPr>
        <w:widowControl/>
        <w:spacing w:before="0" w:beforeLines="0" w:beforeAutospacing="0" w:after="0" w:afterLines="0" w:afterAutospacing="0" w:line="240" w:lineRule="auto"/>
        <w:ind w:firstLine="640" w:firstLineChars="200"/>
        <w:jc w:val="left"/>
        <w:rPr>
          <w:rFonts w:ascii="Times New Roman" w:hAnsi="Times New Roman" w:eastAsia="仿宋_GB2312"/>
          <w:sz w:val="32"/>
          <w:szCs w:val="32"/>
        </w:rPr>
      </w:pPr>
    </w:p>
    <w:p>
      <w:pPr>
        <w:widowControl/>
        <w:rPr>
          <w:rFonts w:ascii="Times New Roman" w:hAnsi="Times New Roman"/>
        </w:rPr>
      </w:pPr>
      <w:r>
        <w:rPr>
          <w:rFonts w:ascii="Times New Roman" w:hAnsi="Times New Roman"/>
          <w:b w:val="0"/>
          <w:sz w:val="0"/>
          <w:szCs w:val="0"/>
        </w:rPr>
        <w:br w:type="page"/>
      </w:r>
    </w:p>
    <w:p>
      <w:pPr>
        <w:widowControl/>
        <w:spacing w:before="0" w:beforeLines="0" w:beforeAutospacing="0" w:after="0" w:afterLines="0" w:afterAutospacing="0" w:line="240" w:lineRule="auto"/>
        <w:jc w:val="center"/>
        <w:outlineLvl w:val="0"/>
        <w:rPr>
          <w:rFonts w:ascii="Times New Roman" w:hAnsi="Times New Roman" w:eastAsia="黑体"/>
          <w:sz w:val="32"/>
          <w:szCs w:val="32"/>
        </w:rPr>
      </w:pPr>
      <w:r>
        <w:rPr>
          <w:rFonts w:ascii="Times New Roman" w:hAnsi="Times New Roman" w:eastAsia="黑体"/>
          <w:b w:val="0"/>
          <w:sz w:val="32"/>
          <w:szCs w:val="32"/>
        </w:rPr>
        <w:t>第三部分 专业名词解释</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一、财政拨款收入：</w:t>
      </w:r>
      <w:r>
        <w:rPr>
          <w:rFonts w:ascii="Times New Roman" w:hAnsi="Times New Roman" w:eastAsia="仿宋_GB2312"/>
          <w:b w:val="0"/>
          <w:sz w:val="32"/>
          <w:szCs w:val="32"/>
        </w:rPr>
        <w:t>指单位本年度从同级财政部门取得的财政拨款，包括一般公共预算财政拨款、政府性基金预算财政拨款和国有资本经营预算财政拨款。</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二、上级补助收入：</w:t>
      </w:r>
      <w:r>
        <w:rPr>
          <w:rFonts w:ascii="Times New Roman" w:hAnsi="Times New Roman"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三、事业收入：</w:t>
      </w:r>
      <w:r>
        <w:rPr>
          <w:rFonts w:ascii="Times New Roman" w:hAnsi="Times New Roman" w:eastAsia="仿宋_GB2312"/>
          <w:b w:val="0"/>
          <w:sz w:val="32"/>
          <w:szCs w:val="32"/>
        </w:rPr>
        <w:t>指事业单位开展专业业务活动及其辅助活动取得的收入。</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四、经营收入：</w:t>
      </w:r>
      <w:r>
        <w:rPr>
          <w:rFonts w:ascii="Times New Roman" w:hAnsi="Times New Roman"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五、附属单位上缴收入：</w:t>
      </w:r>
      <w:r>
        <w:rPr>
          <w:rFonts w:ascii="Times New Roman" w:hAnsi="Times New Roman" w:eastAsia="仿宋_GB2312"/>
          <w:b w:val="0"/>
          <w:sz w:val="32"/>
          <w:szCs w:val="32"/>
        </w:rPr>
        <w:t>指事业单位附属独立核算单位按照有关规定上缴的收入。</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六、其他收入：</w:t>
      </w:r>
      <w:r>
        <w:rPr>
          <w:rFonts w:ascii="Times New Roman" w:hAnsi="Times New Roman" w:eastAsia="仿宋_GB2312"/>
          <w:b w:val="0"/>
          <w:sz w:val="32"/>
          <w:szCs w:val="32"/>
        </w:rPr>
        <w:t>指单位取得的除上述“财政拨款收入”“上级补助收入”“事业收入”“经营收入”“附属单位上缴收入”以外的各项收入。</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七、年初结转和结余：</w:t>
      </w:r>
      <w:r>
        <w:rPr>
          <w:rFonts w:ascii="Times New Roman" w:hAnsi="Times New Roman" w:eastAsia="仿宋_GB2312"/>
          <w:b w:val="0"/>
          <w:sz w:val="32"/>
          <w:szCs w:val="32"/>
        </w:rPr>
        <w:t>指单位上年结转本年使用的基本支出结转、项目支出结转和结余、经营结余。</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八、使用非财政拨款结余（含专用结余）：</w:t>
      </w:r>
      <w:r>
        <w:rPr>
          <w:rFonts w:ascii="Times New Roman" w:hAnsi="Times New Roman" w:eastAsia="仿宋_GB2312"/>
          <w:b w:val="0"/>
          <w:sz w:val="32"/>
          <w:szCs w:val="32"/>
        </w:rPr>
        <w:t>指单位按照预算管理要求使用非财政拨款结余弥补收支差额的金额，以及使用专用结余安排支出的金额。</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九、结余分配</w:t>
      </w:r>
      <w:r>
        <w:rPr>
          <w:rFonts w:ascii="Times New Roman" w:hAnsi="Times New Roman" w:eastAsia="仿宋_GB2312"/>
          <w:b w:val="0"/>
          <w:sz w:val="32"/>
          <w:szCs w:val="32"/>
        </w:rPr>
        <w:t>：指单位缴纳企业所得税以及从非财政拨款结余或经营结余中提取各类结余的情况。</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十、年末结转和结余</w:t>
      </w:r>
      <w:r>
        <w:rPr>
          <w:rFonts w:ascii="Times New Roman" w:hAnsi="Times New Roman" w:eastAsia="仿宋_GB2312"/>
          <w:b w:val="0"/>
          <w:sz w:val="32"/>
          <w:szCs w:val="32"/>
        </w:rPr>
        <w:t>：指单位结转下年的基本支出结转、项目支出结转和结余、经营结余。</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十一、基本支出</w:t>
      </w:r>
      <w:r>
        <w:rPr>
          <w:rFonts w:ascii="Times New Roman" w:hAnsi="Times New Roman" w:eastAsia="仿宋_GB2312"/>
          <w:b w:val="0"/>
          <w:sz w:val="32"/>
          <w:szCs w:val="32"/>
        </w:rPr>
        <w:t>：指单位为保障机构正常运转、完成日常工作任务而发生的各项支出。</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十二、项目支出：</w:t>
      </w:r>
      <w:r>
        <w:rPr>
          <w:rFonts w:ascii="Times New Roman" w:hAnsi="Times New Roman" w:eastAsia="仿宋_GB2312"/>
          <w:b w:val="0"/>
          <w:sz w:val="32"/>
          <w:szCs w:val="32"/>
        </w:rPr>
        <w:t>指单位为完成特定的行政工作任务或事业发展目标，在基本支出之外发生的各项支出。</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十三、上缴上级支出：</w:t>
      </w:r>
      <w:r>
        <w:rPr>
          <w:rFonts w:ascii="Times New Roman" w:hAnsi="Times New Roman" w:eastAsia="仿宋_GB2312"/>
          <w:b w:val="0"/>
          <w:sz w:val="32"/>
          <w:szCs w:val="32"/>
        </w:rPr>
        <w:t>指事业单位按照财政部门和主管部门的规定上缴上级单位的支出。</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十四、经营支出：</w:t>
      </w:r>
      <w:r>
        <w:rPr>
          <w:rFonts w:ascii="Times New Roman" w:hAnsi="Times New Roman" w:eastAsia="仿宋_GB2312"/>
          <w:b w:val="0"/>
          <w:sz w:val="32"/>
          <w:szCs w:val="32"/>
        </w:rPr>
        <w:t>指事业单位在专业活动及辅助活动之外开展非独立核算经营活动发生的支出。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十五、对附属单位补助支出：</w:t>
      </w:r>
      <w:r>
        <w:rPr>
          <w:rFonts w:ascii="Times New Roman" w:hAnsi="Times New Roman" w:eastAsia="仿宋_GB2312"/>
          <w:b w:val="0"/>
          <w:sz w:val="32"/>
          <w:szCs w:val="32"/>
        </w:rPr>
        <w:t>指事业单位用财政补助收入之外的收入对附属单位补助发生的支出。</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十六、“三公”经费：</w:t>
      </w:r>
      <w:r>
        <w:rPr>
          <w:rFonts w:ascii="Times New Roman" w:hAnsi="Times New Roman"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十七、机关运行经费：</w:t>
      </w:r>
      <w:r>
        <w:rPr>
          <w:rFonts w:ascii="Times New Roman" w:hAnsi="Times New Roman" w:eastAsia="仿宋_GB2312"/>
          <w:b w:val="0"/>
          <w:sz w:val="32"/>
          <w:szCs w:val="32"/>
        </w:rPr>
        <w:t>指行政单位和参照公务员法管理的事业单位财政拨款基本支出中的公用经费支出。</w:t>
      </w:r>
    </w:p>
    <w:p>
      <w:pPr>
        <w:widowControl/>
        <w:rPr>
          <w:rFonts w:ascii="Times New Roman" w:hAnsi="Times New Roman"/>
        </w:rPr>
      </w:pPr>
      <w:r>
        <w:rPr>
          <w:rFonts w:ascii="Times New Roman" w:hAnsi="Times New Roman"/>
          <w:b w:val="0"/>
          <w:sz w:val="0"/>
          <w:szCs w:val="0"/>
        </w:rPr>
        <w:br w:type="page"/>
      </w:r>
    </w:p>
    <w:p>
      <w:pPr>
        <w:widowControl/>
        <w:spacing w:before="0" w:beforeLines="0" w:beforeAutospacing="0" w:after="0" w:afterLines="0" w:afterAutospacing="0" w:line="240" w:lineRule="auto"/>
        <w:jc w:val="center"/>
        <w:outlineLvl w:val="0"/>
        <w:rPr>
          <w:rFonts w:ascii="Times New Roman" w:hAnsi="Times New Roman" w:eastAsia="黑体"/>
          <w:sz w:val="32"/>
          <w:szCs w:val="32"/>
        </w:rPr>
      </w:pPr>
      <w:r>
        <w:rPr>
          <w:rFonts w:ascii="Times New Roman" w:hAnsi="Times New Roman"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lNmI5ZjIxNDdhZTFiZWM5ZTIzZmFjMGIwNmNhOGIifQ=="/>
  </w:docVars>
  <w:rsids>
    <w:rsidRoot w:val="00000000"/>
    <w:rsid w:val="1F3D19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autoRedefine/>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autoRedefine/>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autoRedefine/>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autoRedefine/>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unhideWhenUsed/>
    <w:qFormat/>
    <w:uiPriority w:val="99"/>
    <w:pPr>
      <w:ind w:left="720"/>
    </w:pPr>
  </w:style>
  <w:style w:type="paragraph" w:styleId="7">
    <w:name w:val="caption"/>
    <w:basedOn w:val="1"/>
    <w:next w:val="1"/>
    <w:autoRedefine/>
    <w:semiHidden/>
    <w:unhideWhenUsed/>
    <w:qFormat/>
    <w:uiPriority w:val="35"/>
    <w:pPr>
      <w:spacing w:line="240" w:lineRule="auto"/>
    </w:pPr>
    <w:rPr>
      <w:b/>
      <w:bCs/>
      <w:color w:val="4F81BD" w:themeColor="accent1"/>
      <w:sz w:val="18"/>
      <w:szCs w:val="18"/>
    </w:rPr>
  </w:style>
  <w:style w:type="paragraph" w:styleId="8">
    <w:name w:val="header"/>
    <w:basedOn w:val="1"/>
    <w:link w:val="16"/>
    <w:autoRedefine/>
    <w:unhideWhenUsed/>
    <w:qFormat/>
    <w:uiPriority w:val="99"/>
    <w:pPr>
      <w:tabs>
        <w:tab w:val="center" w:pos="4680"/>
        <w:tab w:val="right" w:pos="9360"/>
      </w:tabs>
    </w:pPr>
  </w:style>
  <w:style w:type="paragraph" w:styleId="9">
    <w:name w:val="Subtitle"/>
    <w:basedOn w:val="1"/>
    <w:next w:val="1"/>
    <w:link w:val="21"/>
    <w:autoRedefine/>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autoRedefine/>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autoRedefine/>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autoRedefine/>
    <w:qFormat/>
    <w:uiPriority w:val="20"/>
    <w:rPr>
      <w:i/>
      <w:iCs/>
    </w:rPr>
  </w:style>
  <w:style w:type="character" w:styleId="15">
    <w:name w:val="Hyperlink"/>
    <w:basedOn w:val="13"/>
    <w:autoRedefine/>
    <w:unhideWhenUsed/>
    <w:qFormat/>
    <w:uiPriority w:val="99"/>
    <w:rPr>
      <w:color w:val="0000FF" w:themeColor="hyperlink"/>
      <w:u w:val="single"/>
    </w:rPr>
  </w:style>
  <w:style w:type="character" w:customStyle="1" w:styleId="16">
    <w:name w:val="Header Char"/>
    <w:basedOn w:val="13"/>
    <w:link w:val="8"/>
    <w:autoRedefine/>
    <w:qFormat/>
    <w:uiPriority w:val="99"/>
  </w:style>
  <w:style w:type="character" w:customStyle="1" w:styleId="17">
    <w:name w:val="Heading 1 Char"/>
    <w:basedOn w:val="13"/>
    <w:link w:val="2"/>
    <w:autoRedefine/>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autoRedefine/>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autoRedefine/>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autoRedefine/>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autoRedefine/>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autoRedefine/>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16</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2026-08-24T03:34:26Z</dcterms:created>
  <dc:creator>user</dc:creator>
  <cp:lastModifiedBy>王韩陆</cp:lastModifiedBy>
  <dcterms:modified xsi:type="dcterms:W3CDTF">2026-08-24T03:51:39Z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2DA929D77BFC49979C22992142495AFA_13</vt:lpwstr>
  </property>
</Properties>
</file>