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Times New Roman" w:hAnsi="Times New Roman" w:eastAsia="宋体"/>
          <w:sz w:val="32"/>
          <w:szCs w:val="32"/>
        </w:rPr>
      </w:pPr>
    </w:p>
    <w:p>
      <w:pPr>
        <w:widowControl/>
        <w:spacing w:before="0" w:beforeLines="0" w:beforeAutospacing="0" w:after="0" w:afterLines="0" w:afterAutospacing="0" w:line="240" w:lineRule="auto"/>
        <w:jc w:val="left"/>
        <w:rPr>
          <w:rFonts w:ascii="Times New Roman" w:hAnsi="Times New Roman" w:eastAsia="宋体"/>
          <w:sz w:val="44"/>
          <w:szCs w:val="44"/>
        </w:rPr>
      </w:pPr>
    </w:p>
    <w:p>
      <w:pPr>
        <w:widowControl/>
        <w:spacing w:before="0" w:beforeLines="0" w:beforeAutospacing="0" w:after="0" w:afterLines="0" w:afterAutospacing="0" w:line="240" w:lineRule="auto"/>
        <w:jc w:val="left"/>
        <w:rPr>
          <w:rFonts w:ascii="Times New Roman" w:hAnsi="Times New Roman" w:eastAsia="宋体"/>
          <w:sz w:val="44"/>
          <w:szCs w:val="44"/>
        </w:rPr>
      </w:pPr>
    </w:p>
    <w:p>
      <w:pPr>
        <w:widowControl/>
        <w:spacing w:before="0" w:beforeLines="0" w:beforeAutospacing="0" w:after="0" w:afterLines="0" w:afterAutospacing="0" w:line="240" w:lineRule="auto"/>
        <w:jc w:val="left"/>
        <w:rPr>
          <w:rFonts w:ascii="Times New Roman" w:hAnsi="Times New Roman" w:eastAsia="宋体"/>
          <w:sz w:val="44"/>
          <w:szCs w:val="44"/>
        </w:rPr>
      </w:pPr>
    </w:p>
    <w:p>
      <w:pPr>
        <w:widowControl/>
        <w:spacing w:before="0" w:beforeLines="0" w:beforeAutospacing="0" w:after="0" w:afterLines="0" w:afterAutospacing="0" w:line="240" w:lineRule="auto"/>
        <w:jc w:val="center"/>
        <w:outlineLvl w:val="0"/>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sz w:val="44"/>
          <w:szCs w:val="44"/>
        </w:rPr>
        <w:t>新疆维吾尔自治区口岸管理办公室</w:t>
      </w:r>
    </w:p>
    <w:p>
      <w:pPr>
        <w:widowControl/>
        <w:spacing w:before="0" w:beforeLines="0" w:beforeAutospacing="0" w:after="0" w:afterLines="0" w:afterAutospacing="0" w:line="240" w:lineRule="auto"/>
        <w:jc w:val="center"/>
        <w:outlineLvl w:val="0"/>
        <w:rPr>
          <w:rFonts w:ascii="Times New Roman" w:hAnsi="Times New Roman" w:eastAsia="黑体"/>
          <w:sz w:val="44"/>
          <w:szCs w:val="44"/>
        </w:rPr>
      </w:pPr>
      <w:r>
        <w:rPr>
          <w:rFonts w:hint="eastAsia" w:ascii="方正小标宋简体" w:hAnsi="方正小标宋简体" w:eastAsia="方正小标宋简体" w:cs="方正小标宋简体"/>
          <w:b w:val="0"/>
          <w:sz w:val="44"/>
          <w:szCs w:val="44"/>
        </w:rPr>
        <w:t>2025年度部门决算公开说明</w:t>
      </w: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rPr>
          <w:rFonts w:ascii="Times New Roman" w:hAnsi="Times New Roman" w:eastAsia="黑体"/>
          <w:sz w:val="32"/>
          <w:szCs w:val="32"/>
        </w:rPr>
      </w:pPr>
      <w:r>
        <w:rPr>
          <w:rFonts w:ascii="Times New Roman" w:hAnsi="Times New Roman" w:eastAsia="黑体"/>
          <w:b/>
          <w:sz w:val="32"/>
          <w:szCs w:val="32"/>
        </w:rPr>
        <w:t>目 录</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sz w:val="32"/>
          <w:szCs w:val="32"/>
        </w:rPr>
        <w:t>第一部分</w:t>
      </w:r>
      <w:r>
        <w:rPr>
          <w:rFonts w:hint="eastAsia" w:ascii="Times New Roman" w:hAnsi="Times New Roman" w:eastAsia="仿宋_GB2312"/>
          <w:b/>
          <w:sz w:val="32"/>
          <w:szCs w:val="32"/>
          <w:lang w:val="en-US" w:eastAsia="zh-CN"/>
        </w:rPr>
        <w:t xml:space="preserve"> </w:t>
      </w:r>
      <w:r>
        <w:rPr>
          <w:rFonts w:ascii="Times New Roman" w:hAnsi="Times New Roman" w:eastAsia="仿宋_GB2312"/>
          <w:b/>
          <w:sz w:val="32"/>
          <w:szCs w:val="32"/>
        </w:rPr>
        <w:t>单位概况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一、主要职能</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二、机构设置</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sz w:val="32"/>
          <w:szCs w:val="32"/>
        </w:rPr>
        <w:t>第二部分 部门决算情况说明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二、收入决算情况说明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三、支出决算情况说明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十、其他重要事项的情况说明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（二）政府采购情况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（三）国有资产占用情况说明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十一、预算绩效的情况说明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十二、其他需说明的事项</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sz w:val="32"/>
          <w:szCs w:val="32"/>
        </w:rPr>
        <w:t>第三部分 专业名词解释</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sz w:val="32"/>
          <w:szCs w:val="32"/>
        </w:rPr>
        <w:t>第四部分 部门决算报表（见附表）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一、《收入支出决算总表》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二、《收入决算表》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三、《支出决算表》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九、《财政拨款“三公”经费支出决算表》</w:t>
      </w: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sz w:val="32"/>
          <w:szCs w:val="32"/>
        </w:rPr>
      </w:pPr>
      <w:r>
        <w:rPr>
          <w:rFonts w:ascii="Times New Roman" w:hAnsi="Times New Roman"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新疆维吾尔自治区口岸管理办公室是自治区商务厅的部门管理机构，为副厅级。负责贯彻落实党中央关于口岸管理工作的方针政策、决策部署和自治区党委的工作要求，把坚持和加强党和口岸管理工作的集中统一领导落实到履行职责过程中。</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新疆维吾尔自治区口岸管理办公室无下属预算单位。</w:t>
      </w: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sz w:val="32"/>
          <w:szCs w:val="32"/>
        </w:rPr>
      </w:pPr>
      <w:r>
        <w:rPr>
          <w:rFonts w:ascii="Times New Roman" w:hAnsi="Times New Roman"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2025年度收入总计581.94万元，其中：本年收入合计577.62万元，使用非财政拨款结余（含专用结余）0.00万元，年初结转和结余4.32万元。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2025年度支出总计581.94万元，其中：本年支出合计581.71万元，结余分配0.00万元，年末结转和结余0.23万元。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收入支出总体与上年相比，增加273.06万元，增长88.40%，主要原因是：2025年新增人员3名，年中追加记实2025年职业年金单位缴费、调增基本工资等，人员保障支出增加201.67万元。</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本年收入577.62万元，其中：财政拨款收入577.61万元,占100.00%；上级补助收入0.00万元,占0.00%；事业收入0.00万元，占0.00%；经营收入0.00万元,占0.00%；附属单位上缴收入0.00万元，占0.00%；其他收入0.01万元，占0.00%。</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本年支出581.71万元，其中：基本支出525.05万元，占90.26%；项目支出56.66万元，占9.74%；上缴上级支出0.00万元，占0.00%；经营支出0.00万元，占0.00%；对附属单位补助支出0.00万元，占0.00%。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2025年度财政拨款收入总计581.93万元，其中：年初财政拨款结转和结余4.32万元，本年财政拨款收入577.61万元。财政拨款支出总计581.93万元，其中：年末财政拨款结转和结余0.23万元，本年财政拨款支出581.71万元。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财政拨款收入支出总体与上年相比，增加273.05万元，增长88.40%，主要原因是：2025年新增人员3名，年中追加记实2025年职业年金单位缴费、调增基本工资等，人员保障支出增加201.67万元。与年初预算相比，年初预算数387.75万元，决算数581.93万元，预决算差异率50.08%，主要原因是：年中追加记实2025年职业年金单位缴费、调增基本工资等146.60万元。</w:t>
      </w:r>
    </w:p>
    <w:p>
      <w:pPr>
        <w:widowControl/>
        <w:spacing w:before="0" w:beforeLines="0" w:beforeAutospacing="0" w:after="0" w:afterLines="0" w:afterAutospacing="0" w:line="240" w:lineRule="auto"/>
        <w:ind w:firstLine="640" w:firstLineChars="200"/>
        <w:jc w:val="both"/>
        <w:outlineLvl w:val="1"/>
        <w:rPr>
          <w:rFonts w:ascii="Times New Roman" w:hAnsi="Times New Roman" w:eastAsia="黑体"/>
          <w:sz w:val="32"/>
          <w:szCs w:val="32"/>
        </w:rPr>
      </w:pPr>
      <w:r>
        <w:rPr>
          <w:rFonts w:ascii="Times New Roman" w:hAnsi="Times New Roman"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按照党中央、国务院关于党政机关习惯过紧日子的有关要求，厉行节约办一切事业，严控一般性支出。同时坚持有保有压，优化支出结构，提高资金使用效率，合理保障口岸业务开展、人员履职保障、单位日常运转等重点支出，体现在有关支出科目中。</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按照支出功能分类，一般公共服务支出（类）商贸事务（款）行政运行（项）的支出占本年财政拨款支出总额的比重最高，2025年度决算数为369.05万元，占比63.44%，主要用于人员工资福利、社保缴费、办公费、差旅费等单位日常运转。</w:t>
      </w:r>
    </w:p>
    <w:p>
      <w:pPr>
        <w:widowControl/>
        <w:spacing w:before="0" w:beforeLines="0" w:beforeAutospacing="0" w:after="0" w:afterLines="0" w:afterAutospacing="0" w:line="240" w:lineRule="auto"/>
        <w:ind w:firstLine="640" w:firstLineChars="200"/>
        <w:jc w:val="both"/>
        <w:outlineLvl w:val="2"/>
        <w:rPr>
          <w:rFonts w:ascii="Times New Roman" w:hAnsi="Times New Roman" w:eastAsia="黑体"/>
          <w:sz w:val="32"/>
          <w:szCs w:val="32"/>
        </w:rPr>
      </w:pPr>
      <w:r>
        <w:rPr>
          <w:rFonts w:ascii="Times New Roman" w:hAnsi="Times New Roman" w:eastAsia="黑体"/>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一般公共预算财政拨款支出581.71万元，占本年支出合计的100.00%。与上年相比，增加280.10万元，增长92.87%，主要原因是：2025年新增人员3名，年中追加记实2025年职业年金单位缴费、调增基本工资等，人员保障支出增加201.67万元。与年初预算相比，年初预算数387.75万元，决算数581.71万元，预决算差异率50.02%，主要原因是：年中追加记实2025年职业年金单位缴费、调增基本工资等146.60万元。</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sz w:val="32"/>
          <w:szCs w:val="32"/>
        </w:rPr>
      </w:pPr>
      <w:r>
        <w:rPr>
          <w:rFonts w:ascii="Times New Roman" w:hAnsi="Times New Roman" w:eastAsia="黑体"/>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1.一般公共服务支出（类）425.71万元，占73.18%。</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2.社会保障和就业支出（类）75.01万元，占12.89%。</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3.卫生健康支出（类）45.89万元，占7.89%。</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4.住房保障支出（类）35.10万元，占6.03%。</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sz w:val="32"/>
          <w:szCs w:val="32"/>
        </w:rPr>
      </w:pPr>
      <w:r>
        <w:rPr>
          <w:rFonts w:ascii="Times New Roman" w:hAnsi="Times New Roman" w:eastAsia="黑体"/>
          <w:b w:val="0"/>
          <w:sz w:val="32"/>
          <w:szCs w:val="32"/>
        </w:rPr>
        <w:t>（三）一般公共预算财政拨款支出决算具体情况</w:t>
      </w:r>
    </w:p>
    <w:p>
      <w:pPr>
        <w:keepNext w:val="0"/>
        <w:keepLines w:val="0"/>
        <w:pageBreakBefore w:val="0"/>
        <w:widowControl/>
        <w:kinsoku/>
        <w:wordWrap/>
        <w:overflowPunct/>
        <w:topLinePunct w:val="0"/>
        <w:autoSpaceDE w:val="0"/>
        <w:autoSpaceDN w:val="0"/>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1、一般公共服务支出（类）商贸事务（款）行政运行（项）：支出决算数为369.05万元，比上年决算增加209.78万元，增长131.71%，主要原因是：2025年新增人员3名，年中追加记实2025年职业年金单位缴费、调增基本工资等，人员保障支出增加。</w:t>
      </w:r>
    </w:p>
    <w:p>
      <w:pPr>
        <w:keepNext w:val="0"/>
        <w:keepLines w:val="0"/>
        <w:pageBreakBefore w:val="0"/>
        <w:widowControl/>
        <w:kinsoku/>
        <w:wordWrap/>
        <w:overflowPunct/>
        <w:topLinePunct w:val="0"/>
        <w:autoSpaceDE w:val="0"/>
        <w:autoSpaceDN w:val="0"/>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2、一般公共服务支出（类）商贸事务（款）其他商贸事务支出（项）：支出决算数为56.66万元，比上年决算减少22.73万元，下降28.63%，主要原因是：2024年安排办公设备购置项目79.39万元，2025年无此类项目，项目支出以出国交流等为主，涉及金额56.66万元。</w:t>
      </w:r>
    </w:p>
    <w:p>
      <w:pPr>
        <w:keepNext w:val="0"/>
        <w:keepLines w:val="0"/>
        <w:pageBreakBefore w:val="0"/>
        <w:widowControl/>
        <w:kinsoku/>
        <w:wordWrap/>
        <w:overflowPunct/>
        <w:topLinePunct w:val="0"/>
        <w:autoSpaceDE w:val="0"/>
        <w:autoSpaceDN w:val="0"/>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3、社会保障和就业支出（类）行政事业单位养老支出（款）机关事业单位基本养老保险缴费支出（项）：支出决算数为50.93万元，比上年决算增加28.34万元，增长125.45%，主要原因是：2025年新增人员3名，同时社保缴费基数上调，导致基本养老保险缴费支出增加。</w:t>
      </w:r>
    </w:p>
    <w:p>
      <w:pPr>
        <w:keepNext w:val="0"/>
        <w:keepLines w:val="0"/>
        <w:pageBreakBefore w:val="0"/>
        <w:widowControl/>
        <w:kinsoku/>
        <w:wordWrap/>
        <w:overflowPunct/>
        <w:topLinePunct w:val="0"/>
        <w:autoSpaceDE w:val="0"/>
        <w:autoSpaceDN w:val="0"/>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4、社会保障和就业支出（类）行政事业单位养老支出（款）机关事业单位职业年金缴费支出（项）：支出决算数为24.08万元，比上年决算增加24.08万元，增长100.00%，主要原因是：2025年新增记实2025年职业年金单位缴费24.08万元。</w:t>
      </w:r>
    </w:p>
    <w:p>
      <w:pPr>
        <w:keepNext w:val="0"/>
        <w:keepLines w:val="0"/>
        <w:pageBreakBefore w:val="0"/>
        <w:widowControl/>
        <w:kinsoku/>
        <w:wordWrap/>
        <w:overflowPunct/>
        <w:topLinePunct w:val="0"/>
        <w:autoSpaceDE w:val="0"/>
        <w:autoSpaceDN w:val="0"/>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5、卫生健康支出（类）行政事业单位医疗（款）行政单位医疗（项）：支出决算数为25.55万元，比上年决算增加13.53万元，增长112.56%，主要原因是：2025年新增人员3名，同时社保缴费基数上调，导致基本医疗保险支出增加。</w:t>
      </w:r>
    </w:p>
    <w:p>
      <w:pPr>
        <w:keepNext w:val="0"/>
        <w:keepLines w:val="0"/>
        <w:pageBreakBefore w:val="0"/>
        <w:widowControl/>
        <w:kinsoku/>
        <w:wordWrap/>
        <w:overflowPunct/>
        <w:topLinePunct w:val="0"/>
        <w:autoSpaceDE w:val="0"/>
        <w:autoSpaceDN w:val="0"/>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6、卫生健康支出（类）行政事业单位医疗（款）公务员医疗补助（项）：支出决算数为20.34万元，比上年决算增加11.98万元，增长143.30%，主要原因是：2025年新增人员3名，同时社保缴费基数上调，导致公务员医疗补助支出增加。</w:t>
      </w:r>
    </w:p>
    <w:p>
      <w:pPr>
        <w:keepNext w:val="0"/>
        <w:keepLines w:val="0"/>
        <w:pageBreakBefore w:val="0"/>
        <w:widowControl/>
        <w:kinsoku/>
        <w:wordWrap/>
        <w:overflowPunct/>
        <w:topLinePunct w:val="0"/>
        <w:autoSpaceDE w:val="0"/>
        <w:autoSpaceDN w:val="0"/>
        <w:bidi w:val="0"/>
        <w:adjustRightInd/>
        <w:snapToGrid/>
        <w:spacing w:before="0" w:beforeLines="0" w:beforeAutospacing="0" w:after="0" w:afterLines="0" w:afterAutospacing="0" w:line="240" w:lineRule="auto"/>
        <w:ind w:firstLine="640" w:firstLineChars="200"/>
        <w:jc w:val="both"/>
        <w:textAlignment w:val="auto"/>
        <w:rPr>
          <w:rFonts w:ascii="Times New Roman" w:hAnsi="Times New Roman" w:eastAsia="仿宋_GB2312"/>
          <w:sz w:val="32"/>
          <w:szCs w:val="32"/>
        </w:rPr>
      </w:pPr>
      <w:r>
        <w:rPr>
          <w:rFonts w:ascii="Times New Roman" w:hAnsi="Times New Roman" w:eastAsia="仿宋_GB2312"/>
          <w:b w:val="0"/>
          <w:sz w:val="32"/>
          <w:szCs w:val="32"/>
        </w:rPr>
        <w:t>7、住房保障支出（类）住房改革支出（款）住房公积金（项）：支出决算数为35.10万元，比上年决算增加15.12万元，增长75.68%，主要原因是：2025年新增人员3名，同时公积金缴费基数上调，导致住房公积金缴费支出增加。</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一般公共预算财政拨款基本支出525.05万元，其中：人员经费481.03万元，包括：基本工资、津贴补贴、奖金、机关事业单位基本养老保险缴费、职业年金缴费、职工基本医疗保险缴费、公务员医疗补助缴费、其他社会保障缴费和住房公积金。</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公用经费44.01万元，包括：办公费、邮电费、差旅费、因公出国（境）费用、工会经费、福利费、公务用车运行维护费和其他商品和服务支出。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财政拨款“三公”经费支出16.67万元，比上年增加16.67万元，增长100%，主要原因是：受机构改革影响，2024年未安排“三公”经费相关支出，2025年根据业务实际需要，发生因公出国（境）费用、公务用车购置及运行维护相关支出16.67万元。其中：因公出国（境）费用支出8.09万元,占48.53%，比上年增加8.09万元，增长100%，主要原因是：年中追加赴蒙古国参加中蒙边境口岸管理合作委员会第六次会议等因公出国（境）经费8.09万元；公务用车购置及运行维护费支出8.58万元，占51.47%，比上年增加8.58万元，增长100%，主要原因是：受机构改革影响，2024年未安排公务用车购置及运行维护费，2025年按实际工作需要安排相关支出8.58万元；公务接待费支出0.00万元，占0.00%，与上年相比无变化，主要原因是：严格落实党政机关过紧日子要求，从严管控公务接待活动，2025年未发生公务接待相关支出。</w:t>
      </w:r>
    </w:p>
    <w:p>
      <w:pPr>
        <w:widowControl/>
        <w:spacing w:before="0" w:beforeLines="0" w:beforeAutospacing="0" w:after="0" w:afterLines="0" w:afterAutospacing="0" w:line="240" w:lineRule="auto"/>
        <w:ind w:firstLine="640" w:firstLineChars="200"/>
        <w:jc w:val="left"/>
        <w:rPr>
          <w:rFonts w:ascii="Times New Roman" w:hAnsi="Times New Roman" w:eastAsia="仿宋_GB2312"/>
          <w:sz w:val="32"/>
          <w:szCs w:val="32"/>
        </w:rPr>
      </w:pPr>
      <w:r>
        <w:rPr>
          <w:rFonts w:ascii="Times New Roman" w:hAnsi="Times New Roman"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因公出国（境）费用8.09万元，开支内容包括赴蒙古国参加中蒙边境口岸管理合作委员会第六次会议等。单位全年安排的因公出国（境）团组2个，因公出国（境）3人次。</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公务用车购置及运行维护费8.58万元，其中：公务用车购置费0.00万元，公务用车运行维护费8.58万元。公务用车运行维护费开支内容包括燃料费、维修费、保险费等日常运行维护支出。公务用车购置数0辆，公务用车保有量3辆。国有资产占用情况中固定资产车辆3辆，与公务用车保有量差异原因是：无差异。</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公务接待费0.00万元，开支内容包括本年度未发生公务接待相关支出。单位全年安排的国内公务接待0批次，0人次。</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与全年预算相比，财政拨款“三公”经费支出全年预算数16.67万元，决算数16.67万元，预决算差异率0.00%，主要原因是：本年度严格按照年初预算执行“三公”经费支出，未超预算也无结余。其中：因公出国（境）费用全年预算数8.09万元，决算数8.09万元，预决算差异率0.00%，主要原因是：本年度因公出国（境）支出严格按照预算执行，实际支出与预算金额一致，预决算无差异；公务用车购置费全年预算数0.00万元，决算数0.00万元，预决算差异率0.00%，主要原因是：本年度无公务用车购置计划，预算未安排相关经费，也未发生购置支出，预决算无差异；公务用车运行维护费全年预算数8.58万元，决算数8.58万元，预决算差异率0.00%，主要原因是：本年度严格按照预算控制公务用车运行维护支出，实际支出与预算金额一致，预决算无差异；公务接待费全年预算数0.00万元，决算数0.00万元，预决算差异率0.00%，主要原因是：本年度严格落实过紧日子要求，未安排公务接待预算，也未发生公务接待支出，预决算无差异。</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sz w:val="32"/>
          <w:szCs w:val="32"/>
        </w:rPr>
      </w:pPr>
      <w:r>
        <w:rPr>
          <w:rFonts w:ascii="Times New Roman" w:hAnsi="Times New Roman" w:eastAsia="黑体"/>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新疆维吾尔自治区口岸管理办公室（行政单位和参照公务员法管理事业单位）机关运行经费支出44.01万元，比上年增加44.01万元，增长100%，主要原因是：2024年受机构改革影响，未安排机关运行经费，2025年按履职需要安排机关运行经费44.01万元。</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sz w:val="32"/>
          <w:szCs w:val="32"/>
        </w:rPr>
      </w:pPr>
      <w:r>
        <w:rPr>
          <w:rFonts w:ascii="Times New Roman" w:hAnsi="Times New Roman" w:eastAsia="黑体"/>
          <w:b w:val="0"/>
          <w:sz w:val="32"/>
          <w:szCs w:val="32"/>
        </w:rPr>
        <w:t>（二）政府采购情况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2025年度政府采购支出总额5.97万元，其中：政府采购货物支出0.00万元、政府采购工程支出0.00万元、政府采购服务支出5.97万元。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授予中小企业合同金额0.13万元，占政府采购支出总额的2.18%，其中：授予小微企业合同金额0.13万元，占政府采购支出总额的2.18%。</w:t>
      </w:r>
    </w:p>
    <w:p>
      <w:pPr>
        <w:widowControl/>
        <w:spacing w:before="0" w:beforeLines="0" w:beforeAutospacing="0" w:after="0" w:afterLines="0" w:afterAutospacing="0" w:line="240" w:lineRule="auto"/>
        <w:ind w:firstLine="640" w:firstLineChars="200"/>
        <w:jc w:val="left"/>
        <w:outlineLvl w:val="2"/>
        <w:rPr>
          <w:rFonts w:ascii="Times New Roman" w:hAnsi="Times New Roman" w:eastAsia="黑体"/>
          <w:sz w:val="32"/>
          <w:szCs w:val="32"/>
        </w:rPr>
      </w:pPr>
      <w:r>
        <w:rPr>
          <w:rFonts w:ascii="Times New Roman" w:hAnsi="Times New Roman" w:eastAsia="黑体"/>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截至2025年12月31日，房屋0.00平方米，价值0.00万元。车辆3辆，价值47.70万元，其中：副部（省）级及以上领导用车0辆、主要负责人用车0辆、机要通信用车0辆、应急保障用车0辆、执法执勤用车0辆、特种专业技术用车0辆、离退休干部服务用车0辆、其他用车3辆，其他用车主要是：公务用车3辆;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根据预算绩效管理要求，本单位2025年度预算绩效评价项目</w:t>
      </w:r>
      <w:r>
        <w:rPr>
          <w:rFonts w:hint="eastAsia" w:ascii="Times New Roman" w:hAnsi="Times New Roman" w:eastAsia="仿宋_GB2312"/>
          <w:b w:val="0"/>
          <w:sz w:val="32"/>
          <w:szCs w:val="32"/>
          <w:lang w:val="en-US" w:eastAsia="zh-CN"/>
        </w:rPr>
        <w:t>2</w:t>
      </w:r>
      <w:r>
        <w:rPr>
          <w:rFonts w:ascii="Times New Roman" w:hAnsi="Times New Roman" w:eastAsia="仿宋_GB2312"/>
          <w:b w:val="0"/>
          <w:sz w:val="32"/>
          <w:szCs w:val="32"/>
        </w:rPr>
        <w:t>个，全年预算数</w:t>
      </w:r>
      <w:r>
        <w:rPr>
          <w:rFonts w:hint="eastAsia" w:ascii="Times New Roman" w:hAnsi="Times New Roman" w:eastAsia="仿宋_GB2312"/>
          <w:b w:val="0"/>
          <w:sz w:val="32"/>
          <w:szCs w:val="32"/>
          <w:lang w:val="en-US" w:eastAsia="zh-CN"/>
        </w:rPr>
        <w:t>56.66</w:t>
      </w:r>
      <w:r>
        <w:rPr>
          <w:rFonts w:ascii="Times New Roman" w:hAnsi="Times New Roman" w:eastAsia="仿宋_GB2312"/>
          <w:b w:val="0"/>
          <w:sz w:val="32"/>
          <w:szCs w:val="32"/>
        </w:rPr>
        <w:t>万元，全年执行数</w:t>
      </w:r>
      <w:r>
        <w:rPr>
          <w:rFonts w:hint="eastAsia" w:ascii="Times New Roman" w:hAnsi="Times New Roman" w:eastAsia="仿宋_GB2312"/>
          <w:b w:val="0"/>
          <w:sz w:val="32"/>
          <w:szCs w:val="32"/>
          <w:lang w:val="en-US" w:eastAsia="zh-CN"/>
        </w:rPr>
        <w:t>56.66</w:t>
      </w:r>
      <w:r>
        <w:rPr>
          <w:rFonts w:ascii="Times New Roman" w:hAnsi="Times New Roman" w:eastAsia="仿宋_GB2312"/>
          <w:b w:val="0"/>
          <w:sz w:val="32"/>
          <w:szCs w:val="32"/>
        </w:rPr>
        <w:t>万元。预算绩效管理取得的成效：一是压实预算绩效主体责任，项目资金全部落实到位，预算执行达到预期，有力保障</w:t>
      </w:r>
      <w:r>
        <w:rPr>
          <w:rFonts w:hint="eastAsia" w:ascii="Times New Roman" w:hAnsi="Times New Roman" w:eastAsia="仿宋_GB2312"/>
          <w:b w:val="0"/>
          <w:sz w:val="32"/>
          <w:szCs w:val="32"/>
          <w:lang w:eastAsia="zh-CN"/>
        </w:rPr>
        <w:t>各项</w:t>
      </w:r>
      <w:r>
        <w:rPr>
          <w:rFonts w:ascii="Times New Roman" w:hAnsi="Times New Roman" w:eastAsia="仿宋_GB2312"/>
          <w:b w:val="0"/>
          <w:sz w:val="32"/>
          <w:szCs w:val="32"/>
        </w:rPr>
        <w:t>任务落地；二是强化事前绩效审核与事后绩效复盘，规范经费审核报销流程，严格执行</w:t>
      </w:r>
      <w:r>
        <w:rPr>
          <w:rFonts w:hint="eastAsia" w:ascii="Times New Roman" w:hAnsi="Times New Roman" w:eastAsia="仿宋_GB2312"/>
          <w:b w:val="0"/>
          <w:sz w:val="32"/>
          <w:szCs w:val="32"/>
          <w:lang w:eastAsia="zh-CN"/>
        </w:rPr>
        <w:t>相关</w:t>
      </w:r>
      <w:r>
        <w:rPr>
          <w:rFonts w:ascii="Times New Roman" w:hAnsi="Times New Roman" w:eastAsia="仿宋_GB2312"/>
          <w:b w:val="0"/>
          <w:sz w:val="32"/>
          <w:szCs w:val="32"/>
        </w:rPr>
        <w:t>经费管</w:t>
      </w:r>
      <w:bookmarkStart w:id="0" w:name="_GoBack"/>
      <w:bookmarkEnd w:id="0"/>
      <w:r>
        <w:rPr>
          <w:rFonts w:ascii="Times New Roman" w:hAnsi="Times New Roman" w:eastAsia="仿宋_GB2312"/>
          <w:b w:val="0"/>
          <w:sz w:val="32"/>
          <w:szCs w:val="32"/>
        </w:rPr>
        <w:t>理规定，保障财政资金合规高效使用。发现的问题及原因：一是部分指标设置不够科学合理，目标完成情况和指标值存在部分偏差；二是绩效目标动态监管机制仍需完善，过程管理中缺乏对绩效运行信息的深度挖掘。下一步改进措施：一是强化绩效目标源头管理，紧密结合单位中长期规划与年度重点工作，科学测算、合理设置绩效指标值，提高目标编制的科学性、前瞻性与可操作性；二是健全绩效运行监控闭环机制，及时跟踪项目资金支出进度和绩效目标实现程度，对偏离绩效目标的项目及时预警并整改落实。具体附项目支出绩效自评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十二、其他需说明的事项</w:t>
      </w:r>
    </w:p>
    <w:p>
      <w:pPr>
        <w:widowControl/>
        <w:spacing w:before="0" w:beforeLines="0" w:beforeAutospacing="0" w:after="0" w:afterLines="0" w:afterAutospacing="0" w:line="240" w:lineRule="auto"/>
        <w:ind w:firstLine="640" w:firstLineChars="200"/>
        <w:jc w:val="left"/>
        <w:rPr>
          <w:rFonts w:ascii="Times New Roman" w:hAnsi="Times New Roman" w:eastAsia="仿宋_GB2312"/>
          <w:sz w:val="32"/>
          <w:szCs w:val="32"/>
        </w:rPr>
      </w:pPr>
      <w:r>
        <w:rPr>
          <w:rFonts w:ascii="Times New Roman" w:hAnsi="Times New Roman" w:eastAsia="仿宋_GB2312"/>
          <w:b w:val="0"/>
          <w:sz w:val="32"/>
          <w:szCs w:val="32"/>
        </w:rPr>
        <w:t>2025年新疆维吾尔自治区口岸管理办公室安排SM项目</w:t>
      </w:r>
      <w:r>
        <w:rPr>
          <w:rFonts w:hint="eastAsia" w:ascii="Times New Roman" w:hAnsi="Times New Roman" w:eastAsia="仿宋_GB2312"/>
          <w:b w:val="0"/>
          <w:sz w:val="32"/>
          <w:szCs w:val="32"/>
          <w:lang w:val="en-US" w:eastAsia="zh-CN"/>
        </w:rPr>
        <w:t>2</w:t>
      </w:r>
      <w:r>
        <w:rPr>
          <w:rFonts w:ascii="Times New Roman" w:hAnsi="Times New Roman" w:eastAsia="仿宋_GB2312"/>
          <w:b w:val="0"/>
          <w:sz w:val="32"/>
          <w:szCs w:val="32"/>
        </w:rPr>
        <w:t>个，预算金额</w:t>
      </w:r>
      <w:r>
        <w:rPr>
          <w:rFonts w:hint="eastAsia" w:ascii="Times New Roman" w:hAnsi="Times New Roman" w:eastAsia="仿宋_GB2312"/>
          <w:b w:val="0"/>
          <w:sz w:val="32"/>
          <w:szCs w:val="32"/>
          <w:lang w:val="en-US" w:eastAsia="zh-CN"/>
        </w:rPr>
        <w:t>5</w:t>
      </w:r>
      <w:r>
        <w:rPr>
          <w:rFonts w:ascii="Times New Roman" w:hAnsi="Times New Roman" w:eastAsia="仿宋_GB2312"/>
          <w:b w:val="0"/>
          <w:sz w:val="32"/>
          <w:szCs w:val="32"/>
        </w:rPr>
        <w:t>6.66万元，执行金额</w:t>
      </w:r>
      <w:r>
        <w:rPr>
          <w:rFonts w:hint="eastAsia" w:ascii="Times New Roman" w:hAnsi="Times New Roman" w:eastAsia="仿宋_GB2312"/>
          <w:b w:val="0"/>
          <w:sz w:val="32"/>
          <w:szCs w:val="32"/>
          <w:lang w:val="en-US" w:eastAsia="zh-CN"/>
        </w:rPr>
        <w:t>5</w:t>
      </w:r>
      <w:r>
        <w:rPr>
          <w:rFonts w:ascii="Times New Roman" w:hAnsi="Times New Roman" w:eastAsia="仿宋_GB2312"/>
          <w:b w:val="0"/>
          <w:sz w:val="32"/>
          <w:szCs w:val="32"/>
        </w:rPr>
        <w:t>6.66万元。</w:t>
      </w: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sz w:val="32"/>
          <w:szCs w:val="32"/>
        </w:rPr>
      </w:pPr>
      <w:r>
        <w:rPr>
          <w:rFonts w:ascii="Times New Roman" w:hAnsi="Times New Roman"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一、财政拨款收入：</w:t>
      </w:r>
      <w:r>
        <w:rPr>
          <w:rFonts w:ascii="Times New Roman" w:hAnsi="Times New Roman"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二、上级补助收入：</w:t>
      </w:r>
      <w:r>
        <w:rPr>
          <w:rFonts w:ascii="Times New Roman" w:hAnsi="Times New Roman"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三、事业收入：</w:t>
      </w:r>
      <w:r>
        <w:rPr>
          <w:rFonts w:ascii="Times New Roman" w:hAnsi="Times New Roman"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四、经营收入：</w:t>
      </w:r>
      <w:r>
        <w:rPr>
          <w:rFonts w:ascii="Times New Roman" w:hAnsi="Times New Roman"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五、附属单位上缴收入：</w:t>
      </w:r>
      <w:r>
        <w:rPr>
          <w:rFonts w:ascii="Times New Roman" w:hAnsi="Times New Roman"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六、其他收入：</w:t>
      </w:r>
      <w:r>
        <w:rPr>
          <w:rFonts w:ascii="Times New Roman" w:hAnsi="Times New Roman"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七、年初结转和结余：</w:t>
      </w:r>
      <w:r>
        <w:rPr>
          <w:rFonts w:ascii="Times New Roman" w:hAnsi="Times New Roman"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八、使用非财政拨款结余（含专用结余）：</w:t>
      </w:r>
      <w:r>
        <w:rPr>
          <w:rFonts w:ascii="Times New Roman" w:hAnsi="Times New Roman"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九、结余分配</w:t>
      </w:r>
      <w:r>
        <w:rPr>
          <w:rFonts w:ascii="Times New Roman" w:hAnsi="Times New Roman"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十、年末结转和结余</w:t>
      </w:r>
      <w:r>
        <w:rPr>
          <w:rFonts w:ascii="Times New Roman" w:hAnsi="Times New Roman"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十一、基本支出</w:t>
      </w:r>
      <w:r>
        <w:rPr>
          <w:rFonts w:ascii="Times New Roman" w:hAnsi="Times New Roman"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十二、项目支出：</w:t>
      </w:r>
      <w:r>
        <w:rPr>
          <w:rFonts w:ascii="Times New Roman" w:hAnsi="Times New Roman"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十三、上缴上级支出：</w:t>
      </w:r>
      <w:r>
        <w:rPr>
          <w:rFonts w:ascii="Times New Roman" w:hAnsi="Times New Roman"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十四、经营支出：</w:t>
      </w:r>
      <w:r>
        <w:rPr>
          <w:rFonts w:ascii="Times New Roman" w:hAnsi="Times New Roman"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十五、对附属单位补助支出：</w:t>
      </w:r>
      <w:r>
        <w:rPr>
          <w:rFonts w:ascii="Times New Roman" w:hAnsi="Times New Roman"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十六、“三公”经费：</w:t>
      </w:r>
      <w:r>
        <w:rPr>
          <w:rFonts w:ascii="Times New Roman" w:hAnsi="Times New Roman"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Times New Roman" w:hAnsi="Times New Roman" w:eastAsia="仿宋_GB2312"/>
          <w:sz w:val="32"/>
          <w:szCs w:val="32"/>
        </w:rPr>
      </w:pPr>
      <w:r>
        <w:rPr>
          <w:rFonts w:ascii="Times New Roman" w:hAnsi="Times New Roman" w:eastAsia="仿宋_GB2312"/>
          <w:b/>
          <w:sz w:val="32"/>
          <w:szCs w:val="32"/>
        </w:rPr>
        <w:t>十七、机关运行经费：</w:t>
      </w:r>
      <w:r>
        <w:rPr>
          <w:rFonts w:ascii="Times New Roman" w:hAnsi="Times New Roman" w:eastAsia="仿宋_GB2312"/>
          <w:b w:val="0"/>
          <w:sz w:val="32"/>
          <w:szCs w:val="32"/>
        </w:rPr>
        <w:t>指行政单位和参照公务员法管理的事业单位财政拨款基本支出中的公用经费支出。</w:t>
      </w: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sz w:val="32"/>
          <w:szCs w:val="32"/>
        </w:rPr>
      </w:pPr>
      <w:r>
        <w:rPr>
          <w:rFonts w:ascii="Times New Roman" w:hAnsi="Times New Roman"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mbria">
    <w:panose1 w:val="02040503050406030204"/>
    <w:charset w:val="00"/>
    <w:family w:val="auto"/>
    <w:pitch w:val="default"/>
    <w:sig w:usb0="E00002FF" w:usb1="400004FF"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lNmI5ZjIxNDdhZTFiZWM5ZTIzZmFjMGIwNmNhOGIifQ=="/>
  </w:docVars>
  <w:rsids>
    <w:rsidRoot w:val="00000000"/>
    <w:rsid w:val="09AF23F2"/>
    <w:rsid w:val="36696F60"/>
    <w:rsid w:val="3BA21648"/>
    <w:rsid w:val="40B97058"/>
    <w:rsid w:val="78EC19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uiPriority w:val="99"/>
    <w:rPr>
      <w:color w:val="0000FF" w:themeColor="hyperlink"/>
      <w:u w:val="single"/>
      <w14:textFill>
        <w14:solidFill>
          <w14:schemeClr w14:val="hlink"/>
        </w14:solidFill>
      </w14:textFill>
    </w:rPr>
  </w:style>
  <w:style w:type="character" w:customStyle="1" w:styleId="16">
    <w:name w:val="Header Char"/>
    <w:basedOn w:val="13"/>
    <w:link w:val="8"/>
    <w:uiPriority w:val="99"/>
  </w:style>
  <w:style w:type="character" w:customStyle="1" w:styleId="17">
    <w:name w:val="Heading 1 Char"/>
    <w:basedOn w:val="13"/>
    <w:link w:val="2"/>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34</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2026-08-24T02:59:00Z</dcterms:created>
  <dc:creator>user</dc:creator>
  <cp:lastModifiedBy>王韩陆</cp:lastModifiedBy>
  <dcterms:modified xsi:type="dcterms:W3CDTF">2026-08-24T04:06:56Z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E2CF1717277A4BA8B2BF65A775C7A271_13</vt:lpwstr>
  </property>
</Properties>
</file>