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69A475">
      <w:pPr>
        <w:widowControl/>
        <w:spacing w:before="0" w:beforeLines="0" w:beforeAutospacing="0" w:after="0" w:afterLines="0" w:afterAutospacing="0" w:line="240" w:lineRule="auto"/>
        <w:jc w:val="left"/>
        <w:rPr>
          <w:rFonts w:ascii="宋体" w:eastAsia="宋体"/>
          <w:sz w:val="32"/>
          <w:szCs w:val="32"/>
        </w:rPr>
      </w:pPr>
    </w:p>
    <w:p w14:paraId="5E098045">
      <w:pPr>
        <w:widowControl/>
        <w:spacing w:before="0" w:beforeLines="0" w:beforeAutospacing="0" w:after="0" w:afterLines="0" w:afterAutospacing="0" w:line="240" w:lineRule="auto"/>
        <w:jc w:val="left"/>
        <w:rPr>
          <w:rFonts w:ascii="宋体" w:eastAsia="宋体"/>
          <w:sz w:val="44"/>
          <w:szCs w:val="44"/>
        </w:rPr>
      </w:pPr>
    </w:p>
    <w:p w14:paraId="7D8E6BF1">
      <w:pPr>
        <w:widowControl/>
        <w:spacing w:before="0" w:beforeLines="0" w:beforeAutospacing="0" w:after="0" w:afterLines="0" w:afterAutospacing="0" w:line="240" w:lineRule="auto"/>
        <w:jc w:val="left"/>
        <w:rPr>
          <w:rFonts w:ascii="宋体" w:eastAsia="宋体"/>
          <w:sz w:val="44"/>
          <w:szCs w:val="44"/>
        </w:rPr>
      </w:pPr>
    </w:p>
    <w:p w14:paraId="01248258">
      <w:pPr>
        <w:widowControl/>
        <w:spacing w:before="0" w:beforeLines="0" w:beforeAutospacing="0" w:after="0" w:afterLines="0" w:afterAutospacing="0" w:line="240" w:lineRule="auto"/>
        <w:jc w:val="left"/>
        <w:rPr>
          <w:rFonts w:ascii="宋体" w:eastAsia="宋体"/>
          <w:sz w:val="44"/>
          <w:szCs w:val="44"/>
        </w:rPr>
      </w:pPr>
    </w:p>
    <w:p w14:paraId="4F2EDC09">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新疆维吾尔自治区商务厅机关服务中心</w:t>
      </w:r>
    </w:p>
    <w:p w14:paraId="6DBDE265">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14:paraId="5C7252A3">
      <w:pPr>
        <w:widowControl/>
      </w:pPr>
      <w:r>
        <w:rPr>
          <w:b w:val="0"/>
          <w:sz w:val="0"/>
          <w:szCs w:val="0"/>
        </w:rPr>
        <w:br w:type="page"/>
      </w:r>
    </w:p>
    <w:p w14:paraId="5990AEEF">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56969FD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44279AB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5CF9CF5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14:paraId="1D99804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1F725D9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1FDA13D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4A8CE98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15E980C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5168737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7858DED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2D69D07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28B5A2D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1F4E572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312B8E5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4B8BE6E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1F40FCF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734F428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4AE7635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048423B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4A98D99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0144ADF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508E42C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553F212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37A363D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095487B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1EA4D64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0DA526A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7A01DD0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41CAC3B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5ADB12E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4DDA3DC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3A3B28B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5226509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7D5B4BB6">
      <w:pPr>
        <w:widowControl/>
      </w:pPr>
      <w:r>
        <w:rPr>
          <w:b w:val="0"/>
          <w:sz w:val="0"/>
          <w:szCs w:val="0"/>
        </w:rPr>
        <w:br w:type="page"/>
      </w:r>
    </w:p>
    <w:p w14:paraId="3A65522A">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4B3DE05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1CB13E4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主要负责机关办公服务、机关后勤生活服务、水电暖维护修理服务、接待、车辆保障、会展服务（相关社会服务）、办公楼管理、承办机关委托事项及相关社会服务。</w:t>
      </w:r>
    </w:p>
    <w:p w14:paraId="5E325771">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089CC5F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新疆维吾尔自治区商务厅机关服务中心无下属预算单位。</w:t>
      </w:r>
    </w:p>
    <w:p w14:paraId="59C7C8CE">
      <w:pPr>
        <w:widowControl/>
      </w:pPr>
      <w:r>
        <w:rPr>
          <w:b w:val="0"/>
          <w:sz w:val="0"/>
          <w:szCs w:val="0"/>
        </w:rPr>
        <w:br w:type="page"/>
      </w:r>
    </w:p>
    <w:p w14:paraId="2AB9AB88">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6C86BF3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11D9D05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2025年度收入总计1,732.41万元，其中：本年收入合计1,732.41万元，使用非财政拨款结余（含专用结余）0.00万元，年初结转和结余0.00万元。</w:t>
      </w:r>
    </w:p>
    <w:p w14:paraId="542FD89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2025年度支出总计1,732.41万元，其中：本年支出合计1,732.41万元，结余分配0.00万元，年末结转和结余0.00万元。</w:t>
      </w:r>
    </w:p>
    <w:p w14:paraId="6438441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收入支出总体与上年相比，增加426.00万元，增长32.61%，主要原因是：2025年根据自治区新党编委</w:t>
      </w:r>
      <w:r>
        <w:rPr>
          <w:rFonts w:hint="eastAsia" w:ascii="仿宋_GB2312" w:hAnsi="仿宋_GB2312" w:eastAsia="仿宋_GB2312" w:cs="仿宋_GB2312"/>
          <w:b w:val="0"/>
          <w:sz w:val="32"/>
          <w:szCs w:val="32"/>
        </w:rPr>
        <w:t>〔</w:t>
      </w:r>
      <w:r>
        <w:rPr>
          <w:rFonts w:hint="eastAsia" w:ascii="仿宋_GB2312" w:hAnsi="仿宋_GB2312" w:eastAsia="仿宋_GB2312" w:cs="仿宋_GB2312"/>
          <w:b w:val="0"/>
          <w:sz w:val="32"/>
          <w:szCs w:val="32"/>
          <w:lang w:val="en-US" w:eastAsia="zh-CN"/>
        </w:rPr>
        <w:t>2024</w:t>
      </w:r>
      <w:r>
        <w:rPr>
          <w:rFonts w:hint="eastAsia" w:ascii="仿宋_GB2312" w:hAnsi="仿宋_GB2312" w:eastAsia="仿宋_GB2312" w:cs="仿宋_GB2312"/>
          <w:b w:val="0"/>
          <w:sz w:val="32"/>
          <w:szCs w:val="32"/>
        </w:rPr>
        <w:t>〕</w:t>
      </w:r>
      <w:r>
        <w:rPr>
          <w:rFonts w:ascii="仿宋_GB2312" w:eastAsia="仿宋_GB2312"/>
          <w:b w:val="0"/>
          <w:sz w:val="32"/>
          <w:szCs w:val="32"/>
        </w:rPr>
        <w:t>79号文件，原来自收自支的35名人员纳入全额预算管理，单位整体经费执行全额预算管理，相应收支较上年增加。</w:t>
      </w:r>
    </w:p>
    <w:p w14:paraId="676F3D5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495D36E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1,732.41万元，其中：财政拨款收入1,549.40万元,占89.44%；上级补助收入0.00万元,占0.00%；事业收入0.00万元，占0.00%；经营收入0.00万元,占0.00%；附属单位上缴收入0.00万元，占0.00%；其他收入183.02万元，占10.56%。</w:t>
      </w:r>
    </w:p>
    <w:p w14:paraId="7D61EA7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1359348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本年支出1,732.41万元，其中：基本支出1,549.40万元，占89.44%；项目支出183.02万元，占10.56%；上缴上级支出0.00万元，占0.00%；经营支出0.00万元，占0.00%；对附属单位补助支出0.00万元，占0.00%。</w:t>
      </w:r>
    </w:p>
    <w:p w14:paraId="6EB839E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0B86C68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1,549.40万元，其中：年初财政拨款结转和结余0.00万元，本年财政拨款收入1,549.40万元。财政拨款支出总计1,549.40万元，其中：年末财政拨款结转和结余0.00万元，本年财政拨款支出1,549.40万元。</w:t>
      </w:r>
    </w:p>
    <w:p w14:paraId="2C9455C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864.05万元，增长126.07%，主要原因是：2025年起单位35名自收自支编制人员纳入全额预算管理，对应人员经费、公共经费由财政拨款列支，带动收支规模同比增长。与年初预算相比，年初预算数1,363.03万元，决算数1,549.40万元，预决算差异率13.67%，主要原因是：年中追加人员工资、社会保险及绩效奖金等人员经费186.37万元，造成决算数较年初预算增加。</w:t>
      </w:r>
    </w:p>
    <w:p w14:paraId="4FD415D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5E216F0D">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人员工资、社会保障、机关运行保障等重点支出，体现在有关支出科目中。</w:t>
      </w:r>
    </w:p>
    <w:p w14:paraId="31A9D07D">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一般公共服务支出（类）商贸事务（款）机关服务（项）的支出占本年财政拨款支出总额的比重最高，2025年度决算数为910.63万元，占比58.77%，主要用于主要用于人员工资、津贴补贴、绩效奖及单位日常运转公用支出等。</w:t>
      </w:r>
    </w:p>
    <w:p w14:paraId="6152A69F">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13CA983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1,549.40万元，占本年支出合计的89.44%。与上年相比，增加864.05万元，增长126.07%，主要原因是：2025年起单位35名自收自支编制人员纳入全额预算管理，对应人员经费、公共经费由财政拨款列支，带动收支规模同比增长。与年初预算相比，年初预算数1,363.03万元，决算数1,549.40万元，预决算差异率13.67%，主要原因是：年中追加人员工资、社会保险及绩效奖金等人员经费186.37万元，造成决算数较年初预算增加。</w:t>
      </w:r>
    </w:p>
    <w:p w14:paraId="4B9F17E4">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48073A9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1.一般公共服务支出（类）910.63万元，占58.77%。</w:t>
      </w:r>
    </w:p>
    <w:p w14:paraId="1B322C8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2.社会保障和就业支出（类）433.42万元，占27.97%。</w:t>
      </w:r>
    </w:p>
    <w:p w14:paraId="084BB41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3.卫生健康支出（类）116.72万元，占7.53%。</w:t>
      </w:r>
    </w:p>
    <w:p w14:paraId="5A3EDD1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4.住房保障支出（类）88.63万元，占5.72%。</w:t>
      </w:r>
    </w:p>
    <w:p w14:paraId="433CF390">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428A9464">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一般公共服务支出（类）商贸事务（款）机关服务（项）：支出决算数为910.63万元，比上年决算增加103.16万元，增长12.78%，主要原因是：2025年35名原自收自支编制人员纳入全额预算管理，相应增加在职人员工资、绩效及公用运转经费。</w:t>
      </w:r>
    </w:p>
    <w:p w14:paraId="7B41D7C3">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社会保障和就业支出（类）行政事业单位养老支出（款）事业单位离退休（项）：支出决算数为255.12万元，比上年决算增加192.34万元，增长306.37%，主要原因是：2025年开始纳入财政全额保障，对应的离退休相关经费同步纳入财政拨款核算。</w:t>
      </w:r>
    </w:p>
    <w:p w14:paraId="76A0467A">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社会保障和就业支出（类）行政事业单位养老支出（款）机关事业单位基本养老保险缴费支出（项）：支出决算数为118.18万元，比上年决算增加75.70万元，增长178.20%，主要原因是：35名原自收自支编制人员纳入全额预算管理，机关事业单位基本养老保险缴费支出预算较上年有所增加。</w:t>
      </w:r>
    </w:p>
    <w:p w14:paraId="3AF68815">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社会保障和就业支出（类）行政事业单位养老支出（款）机关事业单位职业年金缴费支出（项）：支出决算数为60.12万元，比上年决算增加34.62万元，增长135.76%，主要原因是：35名原自收自支编制人员纳入全额预算管理，单位职业年金缴费支出相应增加。</w:t>
      </w:r>
    </w:p>
    <w:p w14:paraId="67042D4C">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卫生健康支出（类）行政事业单位医疗（款）事业单位医疗（项）：支出决算数为65.01万元，比上年决算增加45.10万元，增长226.52%，主要原因是：35名原自收自支编制人员纳入全额预算管理，事业单位医疗缴费支出较上年有所增加。</w:t>
      </w:r>
    </w:p>
    <w:p w14:paraId="151E6C2D">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卫生健康支出（类）行政事业单位医疗（款）公务员医疗补助（项）：支出决算数为51.71万元，比上年决算增加33.13万元，增长178.31%，主要原因是：35名原自收自支编制人员纳入全额预算管理，公务员医疗补助缴费支出较上年有所增加。</w:t>
      </w:r>
    </w:p>
    <w:p w14:paraId="61F99FE8">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住房保障支出（类）住房改革支出（款）住房公积金（项）：支出决算数为88.63万元，比上年决算增加56.77万元，增长178.19%，主要原因是：35名原自收自支编制人员纳入全额预算管理，住房公积金缴费支出较上年有所增加。</w:t>
      </w:r>
    </w:p>
    <w:p w14:paraId="49ADE19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28830B1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1,549.40万元，其中：人员经费1,487.50万元，包括：基本工资、津贴补贴、奖金、绩效工资、机关事业单位基本养老保险缴费、职业年金缴费、职工基本医疗保险缴费、公务员医疗补助缴费、其他社会保障缴费、住房公积金、其他工资福利支出、退休费、生活补助和其他对个人和家庭的补助。</w:t>
      </w:r>
    </w:p>
    <w:p w14:paraId="43BCF1E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公用经费61.89万元，包括：办公费、水费、电费、邮电费、取暖费、差旅费、工会经费、福利费、其他交通费用和其他商品和服务支出。</w:t>
      </w:r>
    </w:p>
    <w:p w14:paraId="0B04776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2F1BDC8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621FC56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2DADFB2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22BBFC6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58C5659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0.00万元，与上年相比无变化，主要原因是：我单位无“三公”经费列支。其中：因公出国（境）费用支出0.00万元,占0.00%，与上年相比无变化，主要原因是：我单位无因公出国（境）事宜，无预算安排；公务用车购置及运行维护费支出0.00万元，占0.00%，与上年相比无变化，主要原因是：我单位无公务用车购置事宜，无预算安排。公务车运行维护经费由单位其他收入资金列支；公务接待费支出0.00万元，占0.00%，与上年相比无变化，主要原因是：我单位无公务接待事宜，无预算安排。</w:t>
      </w:r>
    </w:p>
    <w:p w14:paraId="6BB5BC84">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384E7E2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因公出国（境）费用0.00万元，开支内容包括我单位无因公出国（境）事宜，无预算安排。单位全年安排的因公出国（境）团组0个，因公出国（境）0人次。</w:t>
      </w:r>
    </w:p>
    <w:p w14:paraId="3C10EFE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公务车运行维护经费由单位其他收入资金列支。公务用车购置数0辆，公务用车保有量0辆。国有资产占用情况中固定资产车辆6辆，与公务用车保有量差异原因是：公务用车保有量统计口径为一般公共预算财政拨款保障的编制内公务用车，本单位车辆运行维护支出使用单位其他收入资金，因此固定资产上6辆车不纳入财政拨款公务用车保有量统计。</w:t>
      </w:r>
    </w:p>
    <w:p w14:paraId="041D0E0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公务接待费0.00万元，开支内容包括我单位无公务接待事宜，无预算安排。单位全年安排的国内公务接待0批次，0人次。</w:t>
      </w:r>
    </w:p>
    <w:p w14:paraId="6EA37A4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主要原因是：我单位无“三公”经费列支。其中：因公出国（境）费用全年预算数0.00万元，决算数0.00万元，预决算差异率0.00%，主要原因是：我单位无因公出国（境）事宜，无预算安排；公务用车购置费全年预算数0.00万元，决算数0.00万元，预决算差异率0.00%，主要原因是：我单位无公务用车购置事宜，无预算安排。；公务用车运行维护费全年预算数0.00万元，决算数0.00万元，预决算差异率0.00%，主要原因是：公务车运行维护经费由单位其他收入资金列支；公务接待费全年预算数0.00万元，决算数0.00万元，预决算差异率0.00%，主要原因是：我单位无公务接待事宜，无预算安排。</w:t>
      </w:r>
    </w:p>
    <w:p w14:paraId="3BD2F633">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489C26B3">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0493624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维吾尔自治区商务厅机关服务中心（事业单位）公用经费支出61.89万元，比上年增加35.69万元，增长136.22%，主要原因是：35名原自收自支编制人员纳入全额预算管理，人员规模扩大，相应公用运转经费财政拨款同步增加。</w:t>
      </w:r>
    </w:p>
    <w:p w14:paraId="0DECD3DD">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7C84B08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2025年度政府采购支出总额89.87万元，其中：政府采购货物支出0.19万元、政府采购工程支出2.80万元、政府采购服务支出86.88万元。</w:t>
      </w:r>
    </w:p>
    <w:p w14:paraId="485E3AD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授予中小企业合同金额89.87万元，占政府采购支出总额的100.00%，其中：授予小微企业合同金额20.87万元，占政府采购支出总额的23.22%。</w:t>
      </w:r>
    </w:p>
    <w:p w14:paraId="0A45374F">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3573976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4,939.00平方米，价值968.08万元。车辆6辆，价值37.76万元，其中：副部（省）级及以上领导用车0辆、主要负责人用车0辆、机要通信用车0辆、应急保障用车0辆、执法执勤用车0辆、特种专业技术用车0辆、离退休干部服务用车0辆、其他用车6辆，其他用车主要是：一般业务用车;单价100万元（含）以上设备（不含车辆）0台（套）。</w:t>
      </w:r>
    </w:p>
    <w:p w14:paraId="40C017A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127522E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1个，全年预算数385.00万元，全年执行数183.02万元。预算绩效管理取得的成效：一是强化预算统筹保障，落实机构改革经费调整，统筹保障人员、后勤服务等重点支出，充分发挥财政资金保障效能。二是严格落实绩效运行监控，对单位运转、项目实施开展跟踪管理，保障各项履职资金需求，提升资金配置效益。三是规范开展绩效自评工作，完善预算及项目审批流程，推动单位预算绩效管理规范化水平持续提升。发现的问题及原因</w:t>
      </w:r>
      <w:r>
        <w:rPr>
          <w:rFonts w:hint="eastAsia" w:ascii="仿宋_GB2312" w:eastAsia="仿宋_GB2312"/>
          <w:b w:val="0"/>
          <w:sz w:val="32"/>
          <w:szCs w:val="32"/>
          <w:lang w:eastAsia="zh-CN"/>
        </w:rPr>
        <w:t>：</w:t>
      </w:r>
      <w:r>
        <w:rPr>
          <w:rFonts w:ascii="仿宋_GB2312" w:eastAsia="仿宋_GB2312"/>
          <w:b w:val="0"/>
          <w:sz w:val="32"/>
          <w:szCs w:val="32"/>
        </w:rPr>
        <w:t>一是预算编制精细化不足，部分绩效目标设置不够细化，受临时性应急事项影响，预算与实际执行存在偏差，执行进度不均衡。二是资产与预算绩效管理融合不够，公房资产点多面广，动态管理难度大，历史遗留事项复杂，对绩效目标实现造成一定影响。 原因分析：一是绩效管理专业力量薄弱，绩效分析研判能力有待加强。二是历史遗留项目涉及主体多，处置周期长，存在较多不确定性。下一步改进措施：一是强化预算源头管控，科学设置绩效目标，提升预算编制精准度，均衡推进预算执行。</w:t>
      </w:r>
      <w:bookmarkStart w:id="0" w:name="_GoBack"/>
      <w:bookmarkEnd w:id="0"/>
      <w:r>
        <w:rPr>
          <w:rFonts w:ascii="仿宋_GB2312" w:eastAsia="仿宋_GB2312"/>
          <w:b w:val="0"/>
          <w:sz w:val="32"/>
          <w:szCs w:val="32"/>
        </w:rPr>
        <w:t>二是推动资产与预算绩效联动，摸清资产底数，加快历史遗留问题化解，提升资产使用效益。 三是压实绩效管控责任，做实绩效运行监控，强化绩效结果运用，将绩效要求嵌入财务、资产、项目管理各环节，筑牢资金资产安全防线。具体附项目支出绩效自评表。</w:t>
      </w:r>
    </w:p>
    <w:p w14:paraId="3F8A7824">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62F3B57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4AA5758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14:paraId="7326BB82">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61BC0A49">
      <w:pPr>
        <w:widowControl/>
      </w:pPr>
      <w:r>
        <w:rPr>
          <w:b w:val="0"/>
          <w:sz w:val="0"/>
          <w:szCs w:val="0"/>
        </w:rPr>
        <w:br w:type="page"/>
      </w:r>
    </w:p>
    <w:p w14:paraId="571B8CB4">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7060AA6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4C748E4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66A23D9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632A250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6091B57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6FBAE3D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265D2E0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6ADBF58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5F60590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2A41B32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757A217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331CE30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55010DB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0813E2B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440C3C4D">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60FA1A9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4327D5B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78988137">
      <w:pPr>
        <w:widowControl/>
      </w:pPr>
      <w:r>
        <w:rPr>
          <w:b w:val="0"/>
          <w:sz w:val="0"/>
          <w:szCs w:val="0"/>
        </w:rPr>
        <w:br w:type="page"/>
      </w:r>
    </w:p>
    <w:p w14:paraId="1F287A24">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4C82E54A">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3E18FA98">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5E465953">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506984C5">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2B2ABEC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1B2C576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5A386AA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041373E5">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42C767CE">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000000"/>
    <w:rsid w:val="7C8F165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link w:val="8"/>
    <w:uiPriority w:val="99"/>
  </w:style>
  <w:style w:type="character" w:customStyle="1" w:styleId="17">
    <w:name w:val="Heading 1 Char"/>
    <w:basedOn w:val="13"/>
    <w:link w:val="2"/>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5990</Words>
  <Characters>6669</Characters>
  <TotalTime>10</TotalTime>
  <ScaleCrop>false</ScaleCrop>
  <LinksUpToDate>false</LinksUpToDate>
  <CharactersWithSpaces>6678</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2026-08-20T11:32:59Z</dcterms:created>
  <dc:creator>Administrator</dc:creator>
  <cp:lastModifiedBy>毕茹一</cp:lastModifiedBy>
  <dcterms:modified xsi:type="dcterms:W3CDTF">2026-08-20T11:43:57Z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eyJoZGlkIjoiZDk0ZDExODM1NGRiNzY1ZWZlY2ZkNzE5NjBhM2RiM2IiLCJ1c2VySWQiOiI2ODYwNjAwOTgifQ==</vt:lpwstr>
  </property>
  <property fmtid="{D5CDD505-2E9C-101B-9397-08002B2CF9AE}" pid="3" name="KSOProductBuildVer">
    <vt:lpwstr>2052-12.1.0.28043</vt:lpwstr>
  </property>
  <property fmtid="{D5CDD505-2E9C-101B-9397-08002B2CF9AE}" pid="4" name="ICV">
    <vt:lpwstr>5BBCD06BC8074EC6BE1C5D1A1F9B5850_12</vt:lpwstr>
  </property>
</Properties>
</file>