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default" w:ascii="Times New Roman" w:hAnsi="Times New Roman" w:eastAsia="宋体" w:cs="Times New Roman"/>
          <w:sz w:val="32"/>
          <w:szCs w:val="32"/>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20" w:lineRule="exact"/>
        <w:jc w:val="center"/>
        <w:textAlignment w:val="auto"/>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 w:val="0"/>
          <w:sz w:val="44"/>
          <w:szCs w:val="44"/>
        </w:rPr>
        <w:t>新疆维吾尔自治区商务厅（本级）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20" w:lineRule="exact"/>
        <w:jc w:val="center"/>
        <w:textAlignment w:val="auto"/>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 w:val="0"/>
          <w:sz w:val="44"/>
          <w:szCs w:val="44"/>
        </w:rPr>
        <w:t>2025年度部门决算公开说明</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第一部分</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二、机构设置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w:t>
      </w:r>
      <w:r>
        <w:rPr>
          <w:rFonts w:hint="eastAsia" w:ascii="Times New Roman" w:hAnsi="Times New Roman" w:eastAsia="黑体" w:cs="Times New Roman"/>
          <w:b w:val="0"/>
          <w:sz w:val="32"/>
          <w:szCs w:val="32"/>
          <w:lang w:val="en-US" w:eastAsia="zh-CN"/>
        </w:rPr>
        <w:t xml:space="preserve"> </w:t>
      </w:r>
      <w:r>
        <w:rPr>
          <w:rFonts w:hint="default" w:ascii="Times New Roman" w:hAnsi="Times New Roman" w:eastAsia="黑体" w:cs="Times New Roman"/>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商务厅是自治区人民政府组成部门，为正厅级，挂中国（新疆）自由贸易试验区工作办公室牌子。负责贯彻落实党中央关于商务工作的方针政策、决策部署和自治区党委工作要求，把坚持和加强党对商务工作的集中统一领导落实到履行职责过程中</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新疆维吾尔自治区商务厅（本级）无下属预算单位。</w:t>
      </w:r>
    </w:p>
    <w:p>
      <w:pPr>
        <w:widowControl/>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2025年度收入总计353,865.68万元，其中：本年收入合计353,774.36万元，使用非财政拨款结余（含专用结余）0.00万元，年初结转和结余91.32万元。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2025年度支出总计353,865.68万元，其中：本年支出合计353,789.05万元，结余分配0.00万元，年末结转和结余76.63万元。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收入支出总体与上年相比，增加345,596.12万元，增长4,179.14%，主要原因是：本年新增自治区政府肉类储备（增加）、中国（新疆)自由贸易试验区建设工作经费、新疆经贸交流工作组随团出访经费等25个项目346,951.79万元，较上年18个项目3,106.11万元增加343,845.68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收入353,774.36万元，其中：财政拨款收入353,773.66万元,占100.00%；上级补助收入0.00万元,占0.00%；事业收入0.00万元，占0.00%；经营收入0.00万元,占0.00%；附属单位上缴收入0.00万元，占0.00%；其他收入0.70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本年支出353,789.05万元，其中：基本支出5,280.52万元，占1.49%；项目支出348,508.53万元，占98.51%；上缴上级支出0.00万元，占0.00%；经营支出0.00万元，占0.00%；对附属单位补助支出0.00万元，占0.00%。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财政拨款收入总计353,864.98万元，其中：年初财政拨款结转和结余91.32万元，本年财政拨款收入353,773.66万元。财政拨款支出总计353,864.98万元，其中：年末财政拨款结转和结余75.98万元，本年财政拨款支出353,788.99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财政拨款收入支出总体与上年相比，增加345,608.99万元，增长4,186.16%，主要原因是：2025年新增自治区政府肉类储备（增加）、2025年中国（新疆)自由贸易试验区建设工作经费、新疆经贸交流工作组随团出访经费等25个项目346,951.79万元，较2024年18个项目3,106.11万元增加343,845.68万元。与年初预算相比，年初预算数5,827.53万元，决算数353,864.98万元，预决算差异率5,972.30%，主要原因是：2025年年中追加自治区政府肉类储备（增加）、2025年中国（新疆）自由贸易试验区建设工作经费、新疆经贸交流工作组随团出访经费等25个项目346,951.79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按照党中央、国务院关于党政机关习惯过紧日子的有关要求，厉行节约办一切事业，严控一般性支出。同时坚持有保有压，优化支出结构，提高资金使用效率，合理保障扩内需促消费、对外贸易稳中提质、招商引资与双向投资等重点支出，体现在有关支出科目中。</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按照支出功能分类，商业服务业等支出（类）商业流通事务（款）其他商业流通事务支出（项）的支出占本年财政拨款支出总额的比重最高，2025年度决算数为43,889.47万元，占比12.41%，主要用于商务领域消费品以旧换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一般公共预算财政拨款支出53,788.99万元，占本年支出合计的15.20%。与上年相比，增加45,624.31万元，增长558.80%，主要原因是：2025年新增自治区政府肉类储备（增加）、2025年中国（新疆）自由贸易试验区建设工作经费、新疆经贸交流工作组随团出访经费等25个项目346,951.79万元，较2024年18个项目3,106.11万元增加343,845.68万元。与年初预算相比，年初预算数5,827.53万元，决算数53,788.99万元，预决算差异率823.02%，主要原因是：2025年年中追加自治区政府肉类储备（增加）、2025年中国（新疆）自由贸易试验区建设工作经费、新疆经贸交流工作组随团出访经费等25个项目346,951.79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1.一般公共服务支出（类）3,989.05万元，占7.42%。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2.社会保障和就业支出（类）1,510.61万元，占2.81%。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3.卫生健康支出（类）335.18万元，占0.62%。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4.商业服务业等支出（类）44,343.63万元，占82.44%。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5.住房保障支出（类）246.37万元，占0.46%。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6.粮油物资储备支出（类）3,364.16万元，占6.25%。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一般公共服务支出（类）商贸事务（款）行政运行（项）：支出决算数为3,207.36万元，比上年决算增加91.53万元，增长2.94%，主要原因是：调增基本工资。</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招商引资（项）：支出决算数为282.98万元，比上年决算减少495.61万元，下降63.65%，主要原因是：上年收到“港澳·投资新疆经贸文化交流活动经费”528.6万元，本年未获取相关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3</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其他商贸事务支出（项）：支出决算数为498.71万元，比上年决算减少1,204.17万元，下降70.71%，主要原因是：上年收到中国（新疆）自由贸易试验区信息系统建设项目、自治区口岸管理办公室办公场所及商务厅国际交流合作多功能视频会议室维修改造等专项资金，本年未获取相关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4</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社会保障和就业支出（类）行政事业单位养老支出（款）行政单位离退休（项）：支出决算数为894.02万元，比上年决算增加77.02万元，增长9.43%，主要原因是：调增离退休人员基本工资。</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5</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机关事业单位基本养老保险缴费支出（项）：支出决算数为313.88万元，比上年决算增加19.79万元，增长6.73%，主要原因是：调增基本工资，机关事业单位基本养老保险缴费基数升高导致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6</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机关事业单位职业年金缴费支出（项）：支出决算数为283.72万元，比上年决算增加176.67万元，增长165.04%，主要原因是：本年新增记实2025年职业年金单位缴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7</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社会保障和就业支出（类）企业改革补助（款）其他企业改革发展补助（项）：支出决算数为18.99万元，比上年决算增加12.40万元，增长188.16%，主要原因是：本年新增区属国有企业离休干部基础绩效奖12.79万元。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8</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卫生健康支出（类）行政事业单位医疗（款）行政单位医疗（项）：支出决算数为187.91万元，比上年决算增加36.18万元，增长23.84%，主要原因是：调增基本工资，行政单位医疗缴费基数升高导致支出增加。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9</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卫生健康支出（类）行政事业单位医疗（款）公务员医疗补助（项）：支出决算数为147.27万元，比上年决算增加9.14万元，增长6.62%，主要原因是：调增基本工资，公务员医疗补助缴费基数升高导致支出增加。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10</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商业服务业等支出（类）商业流通事务（款）其他商业流通事务支出（项）：支出决算数为43,889.47万元，比上年决算增加43,789.55万元，增长43,824.61%，主要原因是：本年新增消费品以旧换新专项资金43,789.47万元。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11</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涉外发展服务支出（款）其他涉外发展服务支出（项）：支出决算数为434.16万元，比上年决算增加434.16万元，增长100.00%，主要原因是：本年新增自治区扩大开放稳外贸专项资金434.16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12</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其他商业服务业等支出（款）其他商业服务业等支出（项）：支出决算数为20.00万元，比上年决算减少7.18万元，下降26.42%，主要原因是：报废机动车回收拆解企业资质认定专家评审经费支出20.00万元，较上年减少7.18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13</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住房保障支出（类）住房改革支出（款）住房公积金（项）：支出决算数为246.37万元，比上年决算增加11.82万元，增长5.04%，主要原因是：调增基本工资，住房公积金缴费基数升高导致支出增加。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14</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粮油物资储备支出（类）重要商品储备（款）肉类储备（项）：支出决算数为3,364.16万元，比上年决算增加2,678.03万元，增长390.31%，主要原因是：为了落实《稳定肉牛肉羊及奶产业发展九条政策措施》相关要求，自治区新增3,000吨肉类应急储备补贴资金2,206.59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15</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灾害防治及应急管理支出（类）应急管理事务（款）安全监管（项）：支出决算数为0.00万元，比上年决算减少5.00万元，下降100.00%，主要原因是：上年收到“自治区安全生产及应急专项资金（考核举报奖励资金）”5.00万元，本年未获取此项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一般公共预算财政拨款基本支出5,280.52万元，其中：人员经费4,702.39万元，包括：基本工资、津贴补贴、奖金、机关事业单位基本养老保险缴费、职业年金缴费、职工基本医疗保险缴费、公务员医疗补助缴费、其他社会保障缴费、住房公积金、离休费、退休费、抚恤金、生活补助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公用经费578.13万元，包括：办公费、水费、电费、邮电费、取暖费、物业管理费、差旅费、因公出国（境）费用、公务接待费、工会经费、福利费、公务用车运行维护费、其他交通费用和其他商品和服务支出。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1、资源勘探工业信息等支出（类）超长期特别国债安排的支出（款）制造业（项）：支出决算数为300,000.00万元，比上年决算增加300,000.00万元，增长100.00%，主要原因是：不予公开。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财政拨款“三公”经费支出114.30万元，比上年增加4.00万元，增长3.63%，主要原因是：2025年中追加10个团组18人的随新疆经贸代表团出访、赴阿拉木图参加第20届哈萨克斯坦-中国新疆商品展览会、赴香港参加高峰论坛座谈会等团组因公出国经费54.80万元；2024年仅追加7个团组22人的49.80万元。其中：因公出国（境）费用支出64.30万元,占56.26%，比上年增加5.00万元，增长8.43%，主要原因是：2025年中追加10个团组18人的随新疆经贸代表团出访、赴阿拉木图参加第20届哈萨克斯坦-中国新疆商品展览会、赴香港参加高峰论坛座谈会等团组因公出国经费54.80万元；2024年仅追加7个团组22人的49.80万元；公务用车购置及运行维护费支出49.00万元，占42.87%，比上年减少0.00万元，下降0.00%，主要原因是：落实厉行节约要求，从严把控车辆燃油、维修保养、保险等运行维护开支，强化公务用车日常调度管理，合理安排公务出行，运维成本总体可控；公务接待费支出1.00万元，占0.87%，比上年减少1.00万元，下降50.00%，主要原因是：严格落实过紧日子要求，从严把控公务接待审批流程，按规定标准控制陪餐人数、用餐标准，简化接待流程，杜绝超标准、超范围接待。</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因公出国（境）费用64.30万元，开支内容包括随新疆经贸代表团出访、赴阿拉木图参加第20届哈萨克斯坦-中国新疆商品展览会、赴香港参加高峰论坛座谈会等团组因公出国。单位全年安排的因公出国（境）团组14个，因公出国（境）26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用车购置及运行维护费49.00万元，其中：公务用车购置费0.00万元，公务用车运行维护费49.00万元。公务用车运行维护费开支内容包括燃料费、维修费、停车过路费、保险费等。公务用车购置数0辆，公务用车保有量21辆。国有资产占用情况中固定资产车辆21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接待费1.00万元，开支内容包括宁夏回族自治区商务厅来疆对接洽谈第七届中阿博览会主题省（新疆）系列活动期间工作餐、商务部国际贸易经济合作研究院来疆开展自贸试验区评估调研期间工作餐、商务部调研组实地考察国家加工贸易产业园期间工作餐等。单位全年安排的国内公务接待14批次，61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与全年预算相比，财政拨款“三公”经费支出全年预算数114.30万元，决算数114.30万元，预决算差异率0.00%，主要原因是：从严控制三公经费开支，实时监控使用情况，做到量入为出，无预算不开支。其中：因公出国（境）费用全年预算数64.30万元，决算数64.30万元，预决算差异率0.00%，主要原因是：我单位根据政府工作安排开展因公出国（境）活动，合理安排行程，严格遵守规定控制支出；公务用车购置费全年预算数0.00万元，决算数0.00万元，预决算差异率0.00%，主要原因是：我单位无公务用车购置费；公务用车运行维护费全年预算数49.00万元，决算数49.00万元，预决算差异率0.00%，主要原因是：从严控制公务用车运行维护费开支，实时监控使用情况，做到量入为出，无预算不开支；公务接待费全年预算数1.00万元，决算数1.00万元，预决算差异率0.00%，主要原因是：从严控制公务接待费开支，实时监控使用情况，做到量入为出，无预算不开支。</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新疆维吾尔自治区商务厅（本级）机关运行经费支出578.13万元，比上年减少4.01万元，下降0.69%，主要原因是：2025年实有在职人员较上年减少2人，其中退休2人，调出干部2人，调入干部2人，机关运行经费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2025年度政府采购支出总额4,569.47万元，其中：政府采购货物支出388.29万元、政府采购工程支出99.90万元、政府采购服务支出4,081.28万元。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授予中小企业合同金额3,854.84万元，占政府采购支出总额的84.36%，其中：授予小微企业合同金额1,729.21万元，占政府采购支出总额的37.84%。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截至2025年12月31日，房屋65,566.69平方米，价值9,259.38万元。车辆21辆，价值537.81万元，其中：副部（省）级及以上领导用车0辆、主要负责人用车0辆、机要通信用车0辆、应急保障用车0辆、执法执勤用车0辆、特种专业技术用车0辆、离退休干部服务用车0辆、其他用车21辆，其他用车主要是：公务用车21辆</w:t>
      </w:r>
      <w:r>
        <w:rPr>
          <w:rFonts w:hint="eastAsia"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根据预算绩效管理要求，本单位2025年度预算绩效评价项目30个，全年预算数348,579.74万元，全年执行数348,472.99万元。预算绩效管理取得的成效：绩效管理过程进一步严格，强化跟踪指导，每月督促项目执行单位加快项目实施，重点监督做好年中5月、8月绩效监控，突出问题整改，针对发现的问题及时下发督办通知，切实做好整改，确保顺利完成年度预算绩效评价及结果应用。发现的问题及原因：一是绩效管理需进一步压实责任，个别项目预算执行进度较慢，需要不断督促项目负责单位，影响了绩效监控、评价工作成绩；二是预算绩效管理研究不够深入，评价指标体系不完善；三是部分新增项目负责单位缺乏全面绩效管理工作经验，开展事前绩效评估的专业能力有待提升。下一步改进措施：一是进一步规范绩效工作流程，将绩效管理责任细化分解，形成统分结合、各负其责的工作机制；二是强化预算执行情况监督，充分应用财务分析机制，针对预算执行中存在的问题，积极采取应对措施，确保预算执行率，提高资金使用效益；三是加强绩效管理工作培训，结合年初预算编制、中期绩效监控及年度绩效评价等具体工作，对项目处室负责人、财务人员等开展专题培训，提高绩效管理工作的业务能力。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新疆维吾尔商务厅（本级）安排SM项目20个，预算金额344,350.10万元，执行金额344,350.06万元。其中：政府性基金预算资金安排4个SM项目，预算金额300,000.00万元，执行金额300,000.00万元；一般公共预算资金安排16个SM项目，预算金额44,350.10万元，执行金额44,350.06万元。</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指单位本年度从同级财政部门取得的财政拨款，包括一般公共预算财政拨款、政府性基金预算财政拨款和国有资本经营预算财政拨款。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指事业单位附属独立核算单位按照有关规定上缴的收入。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指单位取得的除上述“财政拨款收入”“上级补助收入”“事业收入”“经营收入”“附属单位上缴收入”以外的各项收入。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指单位上年结转本年使用的基本支出结转、项目支出结转和结余、经营结余。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八、使用非财政拨款结余（含专用结余）：</w:t>
      </w:r>
      <w:r>
        <w:rPr>
          <w:rFonts w:hint="default" w:ascii="Times New Roman" w:hAnsi="Times New Roman" w:eastAsia="仿宋_GB2312" w:cs="Times New Roman"/>
          <w:b w:val="0"/>
          <w:sz w:val="32"/>
          <w:szCs w:val="32"/>
        </w:rPr>
        <w:t>指单位按照预算管理要求使用非财政拨款结余弥补收支差额的金额，以及使用专用结余安排支出的金额。</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九、结余分配</w:t>
      </w:r>
      <w:r>
        <w:rPr>
          <w:rFonts w:hint="default" w:ascii="Times New Roman" w:hAnsi="Times New Roman" w:eastAsia="仿宋_GB2312" w:cs="Times New Roman"/>
          <w:b w:val="0"/>
          <w:sz w:val="32"/>
          <w:szCs w:val="32"/>
        </w:rPr>
        <w:t>：指单位缴纳企业所得税以及从非财政拨款结余或经营结余中提取各类结余的情况。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十、年末结转和结余</w:t>
      </w:r>
      <w:r>
        <w:rPr>
          <w:rFonts w:hint="default" w:ascii="Times New Roman" w:hAnsi="Times New Roman" w:eastAsia="仿宋_GB2312" w:cs="Times New Roman"/>
          <w:b w:val="0"/>
          <w:sz w:val="32"/>
          <w:szCs w:val="32"/>
        </w:rPr>
        <w:t>：指单位结转下年的基本支出结转、项目支出结转和结余、经营结余。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十一、基本支出</w:t>
      </w:r>
      <w:r>
        <w:rPr>
          <w:rFonts w:hint="default" w:ascii="Times New Roman" w:hAnsi="Times New Roman" w:eastAsia="仿宋_GB2312" w:cs="Times New Roman"/>
          <w:b w:val="0"/>
          <w:sz w:val="32"/>
          <w:szCs w:val="32"/>
        </w:rPr>
        <w:t>：指单位为保障机构正常运转、完成日常工作任务而发生的各项支出。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十二、项目支出：</w:t>
      </w:r>
      <w:r>
        <w:rPr>
          <w:rFonts w:hint="default" w:ascii="Times New Roman" w:hAnsi="Times New Roman" w:eastAsia="仿宋_GB2312" w:cs="Times New Roman"/>
          <w:b w:val="0"/>
          <w:sz w:val="32"/>
          <w:szCs w:val="32"/>
        </w:rPr>
        <w:t>指单位为完成特定的行政工作任务或事业发展目标，在基本支出之外发生的各项支出。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十三、上缴上级支出：</w:t>
      </w:r>
      <w:r>
        <w:rPr>
          <w:rFonts w:hint="default" w:ascii="Times New Roman" w:hAnsi="Times New Roman" w:eastAsia="仿宋_GB2312" w:cs="Times New Roman"/>
          <w:b w:val="0"/>
          <w:sz w:val="32"/>
          <w:szCs w:val="32"/>
        </w:rPr>
        <w:t>指事业单位按照财政部门和主管部门的规定上缴上级单位的支出。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十四、经营支出：</w:t>
      </w:r>
      <w:r>
        <w:rPr>
          <w:rFonts w:hint="default" w:ascii="Times New Roman" w:hAnsi="Times New Roman" w:eastAsia="仿宋_GB2312" w:cs="Times New Roman"/>
          <w:b w:val="0"/>
          <w:sz w:val="32"/>
          <w:szCs w:val="32"/>
        </w:rPr>
        <w:t>指事业单位在专业活动及辅助活动之外开展非独立核算经营活动发生的支出。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十五、对附属单位补助支出：</w:t>
      </w:r>
      <w:r>
        <w:rPr>
          <w:rFonts w:hint="default" w:ascii="Times New Roman" w:hAnsi="Times New Roman" w:eastAsia="仿宋_GB2312" w:cs="Times New Roman"/>
          <w:b w:val="0"/>
          <w:sz w:val="32"/>
          <w:szCs w:val="32"/>
        </w:rPr>
        <w:t>指事业单位用财政补助收入之外的收入对附属单位补助发生的支出。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十六、“三公”经费：</w:t>
      </w:r>
      <w:r>
        <w:rPr>
          <w:rFonts w:hint="default" w:ascii="Times New Roman" w:hAnsi="Times New Roman" w:eastAsia="仿宋_GB2312" w:cs="Times New Roman"/>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十七、机关运行经费：</w:t>
      </w:r>
      <w:r>
        <w:rPr>
          <w:rFonts w:hint="default" w:ascii="Times New Roman" w:hAnsi="Times New Roman" w:eastAsia="仿宋_GB2312" w:cs="Times New Roman"/>
          <w:b w:val="0"/>
          <w:sz w:val="32"/>
          <w:szCs w:val="32"/>
        </w:rPr>
        <w:t>指行政单位和参照公务员法管理的事业单位财政拨款基本支出中的公用经费支出。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sectPr>
      <w:pgSz w:w="12240" w:h="15840"/>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6EF72F30"/>
    <w:rsid w:val="BEF7258F"/>
    <w:rsid w:val="E7DE8A25"/>
    <w:rsid w:val="FDFB2E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Office_11.8.2.10953_F1E327BC-269C-435d-A152-05C5408002CA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2026-08-25T09:03:00Z</dcterms:created>
  <dc:creator>greatwall</dc:creator>
  <cp:lastModifiedBy>冯祎</cp:lastModifiedBy>
  <dcterms:modified xsi:type="dcterms:W3CDTF">2026-08-24T17:52:05Z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