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717F6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宋体" w:eastAsia="宋体"/>
          <w:sz w:val="32"/>
          <w:szCs w:val="32"/>
        </w:rPr>
      </w:pPr>
    </w:p>
    <w:p w14:paraId="1D0D3BF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880" w:firstLineChars="200"/>
        <w:jc w:val="both"/>
        <w:textAlignment w:val="auto"/>
        <w:outlineLvl w:val="9"/>
        <w:rPr>
          <w:rFonts w:ascii="宋体" w:eastAsia="宋体"/>
          <w:sz w:val="44"/>
          <w:szCs w:val="44"/>
        </w:rPr>
      </w:pPr>
    </w:p>
    <w:p w14:paraId="2906C18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880" w:firstLineChars="200"/>
        <w:jc w:val="both"/>
        <w:textAlignment w:val="auto"/>
        <w:outlineLvl w:val="9"/>
        <w:rPr>
          <w:rFonts w:ascii="宋体" w:eastAsia="宋体"/>
          <w:sz w:val="44"/>
          <w:szCs w:val="44"/>
        </w:rPr>
      </w:pPr>
    </w:p>
    <w:p w14:paraId="7B82EA8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880" w:firstLineChars="200"/>
        <w:jc w:val="both"/>
        <w:textAlignment w:val="auto"/>
        <w:outlineLvl w:val="9"/>
        <w:rPr>
          <w:rFonts w:ascii="宋体" w:eastAsia="宋体"/>
          <w:sz w:val="44"/>
          <w:szCs w:val="44"/>
        </w:rPr>
      </w:pPr>
    </w:p>
    <w:p w14:paraId="2C5D89D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9"/>
        <w:rPr>
          <w:rFonts w:ascii="宋体" w:eastAsia="黑体"/>
          <w:sz w:val="44"/>
          <w:szCs w:val="44"/>
        </w:rPr>
      </w:pPr>
      <w:r>
        <w:rPr>
          <w:rFonts w:ascii="宋体" w:eastAsia="黑体"/>
          <w:b w:val="0"/>
          <w:sz w:val="44"/>
          <w:szCs w:val="44"/>
        </w:rPr>
        <w:t>新疆维吾尔自治区投资贸易促进中心</w:t>
      </w:r>
    </w:p>
    <w:p w14:paraId="1673874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9"/>
        <w:rPr>
          <w:rFonts w:ascii="黑体" w:eastAsia="黑体"/>
          <w:sz w:val="44"/>
          <w:szCs w:val="44"/>
        </w:rPr>
      </w:pPr>
      <w:r>
        <w:rPr>
          <w:rFonts w:ascii="黑体" w:eastAsia="黑体"/>
          <w:b w:val="0"/>
          <w:sz w:val="44"/>
          <w:szCs w:val="44"/>
        </w:rPr>
        <w:t>2025年度部门决算公开说明</w:t>
      </w:r>
    </w:p>
    <w:p w14:paraId="2B2BC2C2">
      <w:pPr>
        <w:keepNext w:val="0"/>
        <w:keepLines w:val="0"/>
        <w:pageBreakBefore w:val="0"/>
        <w:widowControl/>
        <w:kinsoku/>
        <w:wordWrap/>
        <w:overflowPunct/>
        <w:topLinePunct w:val="0"/>
        <w:autoSpaceDE/>
        <w:autoSpaceDN/>
        <w:bidi w:val="0"/>
        <w:adjustRightInd/>
        <w:snapToGrid/>
        <w:spacing w:line="560" w:lineRule="exact"/>
        <w:ind w:firstLine="0" w:firstLineChars="200"/>
        <w:jc w:val="both"/>
        <w:textAlignment w:val="auto"/>
        <w:outlineLvl w:val="9"/>
      </w:pPr>
      <w:r>
        <w:rPr>
          <w:b w:val="0"/>
          <w:sz w:val="0"/>
          <w:szCs w:val="0"/>
        </w:rPr>
        <w:br w:type="page"/>
      </w:r>
    </w:p>
    <w:p w14:paraId="63AB56A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center"/>
        <w:textAlignment w:val="auto"/>
        <w:outlineLvl w:val="9"/>
        <w:rPr>
          <w:rFonts w:ascii="黑体" w:eastAsia="黑体"/>
          <w:sz w:val="32"/>
          <w:szCs w:val="32"/>
        </w:rPr>
      </w:pPr>
      <w:r>
        <w:rPr>
          <w:rFonts w:ascii="黑体" w:eastAsia="黑体"/>
          <w:b/>
          <w:sz w:val="32"/>
          <w:szCs w:val="32"/>
        </w:rPr>
        <w:t>目 录</w:t>
      </w:r>
    </w:p>
    <w:p w14:paraId="158B676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outlineLvl w:val="9"/>
        <w:rPr>
          <w:rFonts w:ascii="仿宋_GB2312" w:eastAsia="仿宋_GB2312"/>
          <w:sz w:val="32"/>
          <w:szCs w:val="32"/>
        </w:rPr>
      </w:pPr>
      <w:r>
        <w:rPr>
          <w:rFonts w:ascii="仿宋_GB2312" w:eastAsia="仿宋_GB2312"/>
          <w:b/>
          <w:sz w:val="32"/>
          <w:szCs w:val="32"/>
        </w:rPr>
        <w:t>第一部分单位概况</w:t>
      </w:r>
    </w:p>
    <w:p w14:paraId="11BD810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一、主要职能</w:t>
      </w:r>
    </w:p>
    <w:p w14:paraId="3FFEBA9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二、机构设置</w:t>
      </w:r>
    </w:p>
    <w:p w14:paraId="455D451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outlineLvl w:val="9"/>
        <w:rPr>
          <w:rFonts w:ascii="仿宋_GB2312" w:eastAsia="仿宋_GB2312"/>
          <w:sz w:val="32"/>
          <w:szCs w:val="32"/>
        </w:rPr>
      </w:pPr>
      <w:r>
        <w:rPr>
          <w:rFonts w:ascii="仿宋_GB2312" w:eastAsia="仿宋_GB2312"/>
          <w:b/>
          <w:sz w:val="32"/>
          <w:szCs w:val="32"/>
        </w:rPr>
        <w:t>第二部分 部门决算情况说明</w:t>
      </w:r>
    </w:p>
    <w:p w14:paraId="660A375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一、收入支出决算总体情况说明</w:t>
      </w:r>
    </w:p>
    <w:p w14:paraId="556FC76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二、收入决算情况说明</w:t>
      </w:r>
    </w:p>
    <w:p w14:paraId="5E925FA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三、支出决算情况说明</w:t>
      </w:r>
    </w:p>
    <w:p w14:paraId="4614D38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四、财政拨款收入支出决算总体情况说明</w:t>
      </w:r>
    </w:p>
    <w:p w14:paraId="5DE20BD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五、一般公共预算财政拨款支出决算情况说明</w:t>
      </w:r>
    </w:p>
    <w:p w14:paraId="1601D38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（一）一般公共预算财政拨款支出决算总体情况</w:t>
      </w:r>
    </w:p>
    <w:p w14:paraId="5A65204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（二）一般公共预算财政拨款支出决算结构情况</w:t>
      </w:r>
    </w:p>
    <w:p w14:paraId="5F5AEA8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（三）一般公共预算财政拨款支出决算具体情况</w:t>
      </w:r>
    </w:p>
    <w:p w14:paraId="7AA9730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六、一般公共预算财政拨款基本支出决算情况说明</w:t>
      </w:r>
    </w:p>
    <w:p w14:paraId="4217D0F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七、政府性基金预算财政拨款收入支出决算情况说明</w:t>
      </w:r>
    </w:p>
    <w:p w14:paraId="51DB28E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77528AD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九、财政拨款“三公”经费支出决算情况说明</w:t>
      </w:r>
    </w:p>
    <w:p w14:paraId="30CDB60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十、其他重要事项的情况说明</w:t>
      </w:r>
    </w:p>
    <w:p w14:paraId="77AD948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（一）机关运行经费及公用经费支出情况</w:t>
      </w:r>
    </w:p>
    <w:p w14:paraId="4F82E06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（二）政府采购情况</w:t>
      </w:r>
    </w:p>
    <w:p w14:paraId="5EE0F88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（三）国有资产占用情况说明</w:t>
      </w:r>
    </w:p>
    <w:p w14:paraId="257C77B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十一、预算绩效的情况说明</w:t>
      </w:r>
    </w:p>
    <w:p w14:paraId="4708060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十二、其他需说明的事项</w:t>
      </w:r>
    </w:p>
    <w:p w14:paraId="3FA9511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outlineLvl w:val="9"/>
        <w:rPr>
          <w:rFonts w:ascii="仿宋_GB2312" w:eastAsia="仿宋_GB2312"/>
          <w:sz w:val="32"/>
          <w:szCs w:val="32"/>
        </w:rPr>
      </w:pPr>
      <w:r>
        <w:rPr>
          <w:rFonts w:ascii="仿宋_GB2312" w:eastAsia="仿宋_GB2312"/>
          <w:b/>
          <w:sz w:val="32"/>
          <w:szCs w:val="32"/>
        </w:rPr>
        <w:t>第三部分 专业名词解释</w:t>
      </w:r>
    </w:p>
    <w:p w14:paraId="47C5027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outlineLvl w:val="9"/>
        <w:rPr>
          <w:rFonts w:ascii="仿宋_GB2312" w:eastAsia="仿宋_GB2312"/>
          <w:sz w:val="32"/>
          <w:szCs w:val="32"/>
        </w:rPr>
      </w:pPr>
      <w:r>
        <w:rPr>
          <w:rFonts w:ascii="仿宋_GB2312" w:eastAsia="仿宋_GB2312"/>
          <w:b/>
          <w:sz w:val="32"/>
          <w:szCs w:val="32"/>
        </w:rPr>
        <w:t>第四部分 部门决算报表（见附表）</w:t>
      </w:r>
    </w:p>
    <w:p w14:paraId="5D98305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一、《收入支出决算总表》</w:t>
      </w:r>
    </w:p>
    <w:p w14:paraId="4049E06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二、《收入决算表》</w:t>
      </w:r>
    </w:p>
    <w:p w14:paraId="02055D1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三、《支出决算表》</w:t>
      </w:r>
    </w:p>
    <w:p w14:paraId="0DEB3DB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四、《财政拨款收入支出决算总表》</w:t>
      </w:r>
    </w:p>
    <w:p w14:paraId="7D8BED3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五、《一般公共预算财政拨款支出决算表》</w:t>
      </w:r>
    </w:p>
    <w:p w14:paraId="3BEF5A8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六、《一般公共预算财政拨款基本支出决算表》</w:t>
      </w:r>
    </w:p>
    <w:p w14:paraId="73F488F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七、《政府性基金预算财政拨款收入支出决算表》</w:t>
      </w:r>
    </w:p>
    <w:p w14:paraId="5AE5F15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八、《国有资本经营预算财政拨款收入支出决算表》</w:t>
      </w:r>
    </w:p>
    <w:p w14:paraId="08E5070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九、《财政拨款“三公”经费支出决算表》</w:t>
      </w:r>
    </w:p>
    <w:p w14:paraId="01CB98AA">
      <w:pPr>
        <w:keepNext w:val="0"/>
        <w:keepLines w:val="0"/>
        <w:pageBreakBefore w:val="0"/>
        <w:widowControl/>
        <w:kinsoku/>
        <w:wordWrap/>
        <w:overflowPunct/>
        <w:topLinePunct w:val="0"/>
        <w:autoSpaceDE/>
        <w:autoSpaceDN/>
        <w:bidi w:val="0"/>
        <w:adjustRightInd/>
        <w:snapToGrid/>
        <w:spacing w:line="560" w:lineRule="exact"/>
        <w:ind w:firstLine="0" w:firstLineChars="200"/>
        <w:jc w:val="both"/>
        <w:textAlignment w:val="auto"/>
        <w:outlineLvl w:val="9"/>
      </w:pPr>
      <w:r>
        <w:rPr>
          <w:b w:val="0"/>
          <w:sz w:val="0"/>
          <w:szCs w:val="0"/>
        </w:rPr>
        <w:br w:type="page"/>
      </w:r>
    </w:p>
    <w:p w14:paraId="70784D8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9"/>
        <w:rPr>
          <w:rFonts w:ascii="黑体" w:eastAsia="黑体"/>
          <w:sz w:val="32"/>
          <w:szCs w:val="32"/>
        </w:rPr>
      </w:pPr>
      <w:r>
        <w:rPr>
          <w:rFonts w:ascii="黑体" w:eastAsia="黑体"/>
          <w:b w:val="0"/>
          <w:sz w:val="32"/>
          <w:szCs w:val="32"/>
        </w:rPr>
        <w:t>第一部分单位概况</w:t>
      </w:r>
    </w:p>
    <w:p w14:paraId="5CCFDC0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黑体" w:eastAsia="黑体"/>
          <w:sz w:val="32"/>
          <w:szCs w:val="32"/>
        </w:rPr>
      </w:pPr>
      <w:r>
        <w:rPr>
          <w:rFonts w:ascii="黑体" w:eastAsia="黑体"/>
          <w:b w:val="0"/>
          <w:sz w:val="32"/>
          <w:szCs w:val="32"/>
        </w:rPr>
        <w:t>一、主要职能</w:t>
      </w:r>
    </w:p>
    <w:p w14:paraId="0676C49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新疆维吾尔自治区投资贸易促进中心承担全区商务领域重点产业、重大招商引资项目的服务保障工作；承担自治区商务厅主办的各类会展、推介和洽谈等重大经贸活动的服务保障工作；承办全区商务领域相关行业培训和职业技能竞赛等活动；承担自治区商务厅机关信息系统运行维护等工作。</w:t>
      </w:r>
    </w:p>
    <w:p w14:paraId="7DEFD1F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黑体" w:eastAsia="黑体"/>
          <w:sz w:val="32"/>
          <w:szCs w:val="32"/>
        </w:rPr>
      </w:pPr>
      <w:r>
        <w:rPr>
          <w:rFonts w:ascii="黑体" w:eastAsia="黑体"/>
          <w:b w:val="0"/>
          <w:sz w:val="32"/>
          <w:szCs w:val="32"/>
        </w:rPr>
        <w:t>二、机构设置</w:t>
      </w:r>
    </w:p>
    <w:p w14:paraId="6F61440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新疆维吾尔自治区投资贸易促进中心无下属预算单位。</w:t>
      </w:r>
    </w:p>
    <w:p w14:paraId="6479795C">
      <w:pPr>
        <w:keepNext w:val="0"/>
        <w:keepLines w:val="0"/>
        <w:pageBreakBefore w:val="0"/>
        <w:widowControl/>
        <w:kinsoku/>
        <w:wordWrap/>
        <w:overflowPunct/>
        <w:topLinePunct w:val="0"/>
        <w:autoSpaceDE/>
        <w:autoSpaceDN/>
        <w:bidi w:val="0"/>
        <w:adjustRightInd/>
        <w:snapToGrid/>
        <w:spacing w:line="560" w:lineRule="exact"/>
        <w:ind w:firstLine="0" w:firstLineChars="200"/>
        <w:jc w:val="both"/>
        <w:textAlignment w:val="auto"/>
        <w:outlineLvl w:val="9"/>
      </w:pPr>
      <w:r>
        <w:rPr>
          <w:b w:val="0"/>
          <w:sz w:val="0"/>
          <w:szCs w:val="0"/>
        </w:rPr>
        <w:br w:type="page"/>
      </w:r>
    </w:p>
    <w:p w14:paraId="232FE53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9"/>
        <w:rPr>
          <w:rFonts w:ascii="黑体" w:eastAsia="黑体"/>
          <w:sz w:val="32"/>
          <w:szCs w:val="32"/>
        </w:rPr>
      </w:pPr>
      <w:r>
        <w:rPr>
          <w:rFonts w:ascii="黑体" w:eastAsia="黑体"/>
          <w:b w:val="0"/>
          <w:sz w:val="32"/>
          <w:szCs w:val="32"/>
        </w:rPr>
        <w:t>第二部分 部门决算情况说明</w:t>
      </w:r>
    </w:p>
    <w:p w14:paraId="1BF00A5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黑体" w:eastAsia="黑体"/>
          <w:sz w:val="32"/>
          <w:szCs w:val="32"/>
        </w:rPr>
      </w:pPr>
      <w:r>
        <w:rPr>
          <w:rFonts w:ascii="黑体" w:eastAsia="黑体"/>
          <w:b w:val="0"/>
          <w:sz w:val="32"/>
          <w:szCs w:val="32"/>
        </w:rPr>
        <w:t>一、收入支出决算总体情况说明</w:t>
      </w:r>
    </w:p>
    <w:p w14:paraId="5D1FCB3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2025年度收入总计553.57万元，其中：本年收入合计535.61万元，使用非财政拨款结余（含专用结余）0.00万元，年初结转和结余17.96万元。</w:t>
      </w:r>
    </w:p>
    <w:p w14:paraId="00FB697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2025年度支出总计553.57万元，其中：本年支出合计527.66万元，结余分配0.00万元，年末结转和结余25.91万元。</w:t>
      </w:r>
    </w:p>
    <w:p w14:paraId="2D5A941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收入支出总体与上年相比，增加553.57万元，增长100%，主要原因是：本单位为机构改革整合新组建单位，2025年度为首次编制预算年度，收入支出预算安排较上年增加。</w:t>
      </w:r>
    </w:p>
    <w:p w14:paraId="260682F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黑体" w:eastAsia="黑体"/>
          <w:sz w:val="32"/>
          <w:szCs w:val="32"/>
        </w:rPr>
      </w:pPr>
      <w:r>
        <w:rPr>
          <w:rFonts w:ascii="黑体" w:eastAsia="黑体"/>
          <w:b w:val="0"/>
          <w:sz w:val="32"/>
          <w:szCs w:val="32"/>
        </w:rPr>
        <w:t>二、收入决算情况说明</w:t>
      </w:r>
    </w:p>
    <w:p w14:paraId="09521ED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本年收入535.61万元，其中：财政拨款收入535.50万元,占99.98%；上级补助收入0.00万元,占0.00%；事业收入0.00万元，占0.00%；经营收入0.00万元,占0.00%；附属单位上缴收入0.00万元，占0.00%；其他收入0.10万元，占0.02%。</w:t>
      </w:r>
    </w:p>
    <w:p w14:paraId="10D635C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黑体" w:eastAsia="黑体"/>
          <w:sz w:val="32"/>
          <w:szCs w:val="32"/>
        </w:rPr>
      </w:pPr>
      <w:r>
        <w:rPr>
          <w:rFonts w:ascii="黑体" w:eastAsia="黑体"/>
          <w:b w:val="0"/>
          <w:sz w:val="32"/>
          <w:szCs w:val="32"/>
        </w:rPr>
        <w:t>三、支出决算情况说明</w:t>
      </w:r>
    </w:p>
    <w:p w14:paraId="78BD586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本年支出527.66万元，其中：基本支出507.66万元，占96.21%；项目支出20.00万元，占3.79%；上缴上级支出0.00万元，占0.00%；经营支出0.00万元，占0.00%；对附属单位补助支出0.00万元，占0.00%。</w:t>
      </w:r>
    </w:p>
    <w:p w14:paraId="3475084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黑体" w:eastAsia="黑体"/>
          <w:sz w:val="32"/>
          <w:szCs w:val="32"/>
        </w:rPr>
      </w:pPr>
      <w:r>
        <w:rPr>
          <w:rFonts w:ascii="黑体" w:eastAsia="黑体"/>
          <w:b w:val="0"/>
          <w:sz w:val="32"/>
          <w:szCs w:val="32"/>
        </w:rPr>
        <w:t>四、财政拨款收入支出决算总体情况说明</w:t>
      </w:r>
    </w:p>
    <w:p w14:paraId="19B503E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2025年度财政拨款收入总计552.50万元，其中：年初财政拨款结转和结余16.99万元，本年财政拨款收入535.50万元。财政拨款支出总计552.50万元，其中：年末财政拨款结转和结余24.84万元，本年财政拨款支出527.66万元。</w:t>
      </w:r>
    </w:p>
    <w:p w14:paraId="576C499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财政拨款收入支出总体与上年相比，增加552.50万元，增长100%，主要原因是：本单位为机构改革整合新组建单位，2025年度为首次编制预算年度，财政拨款收入支出较上年增加。与年初预算相比，年初预算数472.99万元，决算数552.50万元，预决算差异率16.81%，主要原因是：按要求调增人员经费79.08万元，包含调增人员工资、发放年终绩效考核奖、追加职工基本医疗以及记实2025年职业年金单位缴费，决算数较年初预算</w:t>
      </w:r>
      <w:r>
        <w:rPr>
          <w:rFonts w:hint="eastAsia" w:ascii="仿宋_GB2312" w:eastAsia="仿宋_GB2312"/>
          <w:b w:val="0"/>
          <w:sz w:val="32"/>
          <w:szCs w:val="32"/>
          <w:lang w:eastAsia="zh-CN"/>
        </w:rPr>
        <w:t>数</w:t>
      </w:r>
      <w:r>
        <w:rPr>
          <w:rFonts w:ascii="仿宋_GB2312" w:eastAsia="仿宋_GB2312"/>
          <w:b w:val="0"/>
          <w:sz w:val="32"/>
          <w:szCs w:val="32"/>
        </w:rPr>
        <w:t>增加。</w:t>
      </w:r>
    </w:p>
    <w:p w14:paraId="6F3F5C0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黑体" w:eastAsia="黑体"/>
          <w:sz w:val="32"/>
          <w:szCs w:val="32"/>
        </w:rPr>
      </w:pPr>
      <w:r>
        <w:rPr>
          <w:rFonts w:ascii="黑体" w:eastAsia="黑体"/>
          <w:b w:val="0"/>
          <w:sz w:val="32"/>
          <w:szCs w:val="32"/>
        </w:rPr>
        <w:t>五、一般公共预算财政拨款支出决算情况说明</w:t>
      </w:r>
    </w:p>
    <w:p w14:paraId="00CEBBB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人员工资、事业运转、信息化运维等重点支出，体现在有关支出科目中。</w:t>
      </w:r>
    </w:p>
    <w:p w14:paraId="364A126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按照支出功能分类，一般公共服务支出（类）商贸事务（款）事业运行（项）的支出占本年财政拨款支出总额的比重最高，2025年度决算数为350.15万元，占比66.36%，主要用于保障人员工资待遇和事业运转。</w:t>
      </w:r>
    </w:p>
    <w:p w14:paraId="15C686B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黑体" w:eastAsia="黑体"/>
          <w:sz w:val="32"/>
          <w:szCs w:val="32"/>
        </w:rPr>
      </w:pPr>
      <w:r>
        <w:rPr>
          <w:rFonts w:ascii="黑体" w:eastAsia="黑体"/>
          <w:b w:val="0"/>
          <w:sz w:val="32"/>
          <w:szCs w:val="32"/>
        </w:rPr>
        <w:t>（一）一般公共预算财政拨款支出决算总体情况</w:t>
      </w:r>
    </w:p>
    <w:p w14:paraId="5509DC5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2025年度一般公共预算财政拨款支出527.66万元，占本年支出合计的100.00%。与上年相比，增加527.66万元，增长100%，主要原因是：本单位为机构改革整合新组建单位，2025年度为首次编制预算年度，一般公共预算财政拨款支出较上年增加。与年初预算相比，年初预算数472.99万元，决算数527.66万元，预决算差异率11.56%，主要原因是：按要求调增人员经费79.08万元，包含调增人员工资、发放年终绩效考核奖、追加职工基本医疗以及记实2025年职业年金单位缴费，决算数较年初预算</w:t>
      </w:r>
      <w:r>
        <w:rPr>
          <w:rFonts w:hint="eastAsia" w:ascii="仿宋_GB2312" w:eastAsia="仿宋_GB2312"/>
          <w:b w:val="0"/>
          <w:sz w:val="32"/>
          <w:szCs w:val="32"/>
          <w:lang w:eastAsia="zh-CN"/>
        </w:rPr>
        <w:t>数</w:t>
      </w:r>
      <w:r>
        <w:rPr>
          <w:rFonts w:ascii="仿宋_GB2312" w:eastAsia="仿宋_GB2312"/>
          <w:b w:val="0"/>
          <w:sz w:val="32"/>
          <w:szCs w:val="32"/>
        </w:rPr>
        <w:t>增加。</w:t>
      </w:r>
    </w:p>
    <w:p w14:paraId="255D4A8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黑体" w:eastAsia="黑体"/>
          <w:sz w:val="32"/>
          <w:szCs w:val="32"/>
        </w:rPr>
      </w:pPr>
      <w:r>
        <w:rPr>
          <w:rFonts w:ascii="黑体" w:eastAsia="黑体"/>
          <w:b w:val="0"/>
          <w:sz w:val="32"/>
          <w:szCs w:val="32"/>
        </w:rPr>
        <w:t>（二）一般公共预算财政拨款支出决算结构情况</w:t>
      </w:r>
    </w:p>
    <w:p w14:paraId="7DC92B5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1.一般公共服务支出（类）350.15万元，占66.36%。</w:t>
      </w:r>
    </w:p>
    <w:p w14:paraId="5567A8D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2.社会保障和就业支出（类）78.35万元，占14.85%。</w:t>
      </w:r>
    </w:p>
    <w:p w14:paraId="3C0AA49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3.卫生健康支出（类）45.00万元，占8.53%。</w:t>
      </w:r>
    </w:p>
    <w:p w14:paraId="52BE43B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4.商业服务业等支出（类）20.00万元，占3.79%。</w:t>
      </w:r>
    </w:p>
    <w:p w14:paraId="2473480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5.住房保障支出（类）34.16万元，占6.47%。</w:t>
      </w:r>
    </w:p>
    <w:p w14:paraId="790F884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黑体" w:eastAsia="黑体"/>
          <w:sz w:val="32"/>
          <w:szCs w:val="32"/>
        </w:rPr>
      </w:pPr>
      <w:r>
        <w:rPr>
          <w:rFonts w:ascii="黑体" w:eastAsia="黑体"/>
          <w:b w:val="0"/>
          <w:sz w:val="32"/>
          <w:szCs w:val="32"/>
        </w:rPr>
        <w:t>（三）一般公共预算财政拨款支出决算具体情况</w:t>
      </w:r>
    </w:p>
    <w:p w14:paraId="0C363B1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1、一般公共服务支出（类）商贸事务（款）事业运行（项）：支出决算数为350.15万元，比上年决算增加350.15万元，增长100.00%，主要原因是：本单位为机构改革整合新组建单位，2025年度为首次编制预算年度，事业运行支出较上年增加。</w:t>
      </w:r>
    </w:p>
    <w:p w14:paraId="33BD29C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2、社会保障和就业支出（类）行政事业单位养老支出（款）事业单位离退休（项）：支出决算数为14.67万元，比上年决算增加14.67万元，增长100.00%，主要原因是：本单位为机构改革整合新组建单位，2025年度为首次编制预算年度，事业单位离退休支出较上年增加。</w:t>
      </w:r>
    </w:p>
    <w:p w14:paraId="434D430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3、社会保障和就业支出（类）行政事业单位养老支出（款）机关事业单位基本养老保险缴费支出（项）：支出决算数为42.15万元，比上年决算增加42.15万元，增长100.00%，主要原因是：本单位为机构改革整合新组建单位，2025年度为首次编制预算年度，机关事业单位基本养老保险缴费支出较上年增加。</w:t>
      </w:r>
    </w:p>
    <w:p w14:paraId="776920A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4、社会保障和就业支出（类）行政事业单位养老支出（款）机关事业单位职业年金缴费支出（项）：支出决算数为21.53万元，比上年决算增加21.53万元，增长100.00%，主要原因是：本单位为机构改革整合新组建单位，2025年度为首次编制预算年度，机关事业单位职业年金缴费支出较上年增加。</w:t>
      </w:r>
    </w:p>
    <w:p w14:paraId="4BEBD93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5、卫生健康支出（类）行政事业单位医疗（款）事业单位医疗（项）：支出决算数为25.07万元，比上年决算增加25.07万元，增长100.00%，主要原因是：本单位为机构改革整合新组建单位，2025年度为首次编制预算年度，事业单位医疗支出较上年增加。</w:t>
      </w:r>
    </w:p>
    <w:p w14:paraId="1A75D3E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6、卫生健康支出（类）行政事业单位医疗（款）公务员医疗补助（项）：支出决算数为19.93万元，比上年决算增加19.93万元，增长100.00%，主要原因是：本单位为机构改革整合新组建单位，2025年度为首次编制预算年度，公务员医疗补助支出较上年增加。</w:t>
      </w:r>
    </w:p>
    <w:p w14:paraId="733BD81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7、商业服务业等支出（类）其他商业服务业等支出（款）其他商业服务业等支出（项）：支出决算数为20.00万元，比上年决算增加20.00万元，增长100.00%，主要原因是：本单位为机构改革整合新组建单位，2025年度为首次编制预算年度，项目支出较上年增加。</w:t>
      </w:r>
    </w:p>
    <w:p w14:paraId="2963802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8、住房保障支出（类）住房改革支出（款）住房公积金（项）：支出决算数为34.16万元，比上年决算增加34.16万元，增长100.00%，主要原因是：本单位为机构改革整合新组建单位，2025年度为首次编制预算年度，住房公积金支出较上年增加。</w:t>
      </w:r>
    </w:p>
    <w:p w14:paraId="3C3D5CD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黑体" w:eastAsia="黑体"/>
          <w:sz w:val="32"/>
          <w:szCs w:val="32"/>
        </w:rPr>
      </w:pPr>
      <w:r>
        <w:rPr>
          <w:rFonts w:ascii="黑体" w:eastAsia="黑体"/>
          <w:b w:val="0"/>
          <w:sz w:val="32"/>
          <w:szCs w:val="32"/>
        </w:rPr>
        <w:t>六、一般公共预算财政拨款基本支出决算情况说明</w:t>
      </w:r>
    </w:p>
    <w:p w14:paraId="51510A3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2025年度一般公共预算财政拨款基本支出507.66万元，其中：人员经费471.38万元，包括：基本工资、津贴补贴、奖金、绩效工资、机关事业单位基本养老保险缴费、职业年金缴费、职工基本医疗保险缴费、公务员医疗补助缴费、其他社会保障缴费、住房公积金、退休费和其他对个人和家庭的补助。</w:t>
      </w:r>
    </w:p>
    <w:p w14:paraId="7513BA6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公用经费36.28万元，包括：办公费、差旅费、工会经费、福利费和其他商品和服务支出。</w:t>
      </w:r>
    </w:p>
    <w:p w14:paraId="70611EA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黑体" w:eastAsia="黑体"/>
          <w:sz w:val="32"/>
          <w:szCs w:val="32"/>
        </w:rPr>
      </w:pPr>
      <w:r>
        <w:rPr>
          <w:rFonts w:ascii="黑体" w:eastAsia="黑体"/>
          <w:b w:val="0"/>
          <w:sz w:val="32"/>
          <w:szCs w:val="32"/>
        </w:rPr>
        <w:t>七、政府性基金预算财政拨款收入支出决算情况说明</w:t>
      </w:r>
    </w:p>
    <w:p w14:paraId="61FBFAF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6EBC774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黑体" w:eastAsia="黑体"/>
          <w:sz w:val="32"/>
          <w:szCs w:val="32"/>
        </w:rPr>
      </w:pPr>
      <w:r>
        <w:rPr>
          <w:rFonts w:ascii="黑体" w:eastAsia="黑体"/>
          <w:b w:val="0"/>
          <w:sz w:val="32"/>
          <w:szCs w:val="32"/>
        </w:rPr>
        <w:t>八、国有资本经营预算财政拨款收入支出决算情况说明</w:t>
      </w:r>
    </w:p>
    <w:p w14:paraId="7551E7B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3C735A2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黑体" w:eastAsia="黑体"/>
          <w:sz w:val="32"/>
          <w:szCs w:val="32"/>
        </w:rPr>
      </w:pPr>
      <w:r>
        <w:rPr>
          <w:rFonts w:ascii="黑体" w:eastAsia="黑体"/>
          <w:b w:val="0"/>
          <w:sz w:val="32"/>
          <w:szCs w:val="32"/>
        </w:rPr>
        <w:t>九、财政拨款“三公”经费支出决算情况说明</w:t>
      </w:r>
    </w:p>
    <w:p w14:paraId="262DFB0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2025年度财政拨款“三公”经费支出0.00万元，与上年相比无变化，主要原因是：本年度我单位未安排“三公”经费支出。其中：因公出国（境）费用支出0.00万元,占0.00%，与上年相比无变化，主要原因是：本年度我单位未安排因公出国（境）费用支出；公务用车购置及运行维护费支出0.00万元，占0.00%，与上年相比无变化，主要原因是：本年度我单位未安排公务用车购置及运行维护费支出；公务接待费支出0.00万元，占0.00%，与上年相比无变化，主要原因是：本年度我单位未安排公务接待费支出。</w:t>
      </w:r>
    </w:p>
    <w:p w14:paraId="13E3EF7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具体情况如下：</w:t>
      </w:r>
    </w:p>
    <w:p w14:paraId="1BF9ACF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因公出国（境）费用0.00万元，开支内容包括因公出国（境）费，本年度我单位未安排因公出国（境）费用支出。单位全年安排的因公出国（境）团组0个，因公出国（境）0人次。</w:t>
      </w:r>
    </w:p>
    <w:p w14:paraId="012D9CD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公务用车运行维护费，本年度我单位未安排公务用车运行维护费支出。公务用车购置数0辆，公务用车保有量0辆。国有资产占用情况中固定资产车辆0辆，与公务用车保有量差异原因是：本单位无公务用车。</w:t>
      </w:r>
    </w:p>
    <w:p w14:paraId="72337C4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公务接待费0.00万元，开支内容包括公务接待费，本年度我单位未安排公务接待费支出。单位全年安排的国内公务接待0批次，0人次。</w:t>
      </w:r>
    </w:p>
    <w:p w14:paraId="0C01060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主要原因是：本年度我单位未安排“三公”经费支出。其中：因公出国（境）费用全年预算数0.00万元，决算数0.00万元，预决算差异率0.00%，主要原因是：本年度我单位未安排因公出国（境）费用支出；公务用车购置费全年预算数0.00万元，决算数0.00万元，预决算差异率0.00%，主要原因是：本年度我单位未安排公务用车购置费支出；公务用车运行维护费全年预算数0.00万元，决算数0.00万元，预决算差异率0.00%，主要原因是：本年度我单位未安排公务用车运行维护费支出；公务接待费全年预算数0.00万元，决算数0.00万元，预决算差异率0.00%，主要原因是：本年度我单位未安排公务接待费支出。</w:t>
      </w:r>
    </w:p>
    <w:p w14:paraId="21060A5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黑体" w:eastAsia="黑体"/>
          <w:sz w:val="32"/>
          <w:szCs w:val="32"/>
        </w:rPr>
      </w:pPr>
      <w:r>
        <w:rPr>
          <w:rFonts w:ascii="黑体" w:eastAsia="黑体"/>
          <w:b w:val="0"/>
          <w:sz w:val="32"/>
          <w:szCs w:val="32"/>
        </w:rPr>
        <w:t>十、其他重要事项的情况说明</w:t>
      </w:r>
    </w:p>
    <w:p w14:paraId="7A2B4D9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黑体" w:eastAsia="黑体"/>
          <w:sz w:val="32"/>
          <w:szCs w:val="32"/>
        </w:rPr>
      </w:pPr>
      <w:r>
        <w:rPr>
          <w:rFonts w:ascii="黑体" w:eastAsia="黑体"/>
          <w:b w:val="0"/>
          <w:sz w:val="32"/>
          <w:szCs w:val="32"/>
        </w:rPr>
        <w:t>（一）机关运行经费及公用经费支出情况</w:t>
      </w:r>
    </w:p>
    <w:p w14:paraId="2A5FCDF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2025年度新疆维吾尔自治区投资贸易促进中心（事业单位）公用经费支出36.28万元，比上年增加36.28万元，增长100%，主要原因是：本单位为机构改革整合新组建单位，2025年度为首次编制预算年度，公用经费支出较上年增加。</w:t>
      </w:r>
    </w:p>
    <w:p w14:paraId="35F4D95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黑体" w:eastAsia="黑体"/>
          <w:sz w:val="32"/>
          <w:szCs w:val="32"/>
        </w:rPr>
      </w:pPr>
      <w:r>
        <w:rPr>
          <w:rFonts w:ascii="黑体" w:eastAsia="黑体"/>
          <w:b w:val="0"/>
          <w:sz w:val="32"/>
          <w:szCs w:val="32"/>
        </w:rPr>
        <w:t>（二）政府采购情况</w:t>
      </w:r>
    </w:p>
    <w:p w14:paraId="169BFD5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2025年度政府采购支出总额28.19万元，其中：政府采购货物支出28.19万元、政府采购工程支出0.00万元、政府采购服务支出0.00万元。</w:t>
      </w:r>
    </w:p>
    <w:p w14:paraId="4554E15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授予中小企业合同金额3.22万元，占政府采购支出总额的11.42%，其中：授予小微企业合同金额0.59万元，占政府采购支出总额的2.09%。</w:t>
      </w:r>
    </w:p>
    <w:p w14:paraId="51D233D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黑体" w:eastAsia="黑体"/>
          <w:sz w:val="32"/>
          <w:szCs w:val="32"/>
        </w:rPr>
      </w:pPr>
      <w:r>
        <w:rPr>
          <w:rFonts w:ascii="黑体" w:eastAsia="黑体"/>
          <w:b w:val="0"/>
          <w:sz w:val="32"/>
          <w:szCs w:val="32"/>
        </w:rPr>
        <w:t>（三）国有资产占用情况说明</w:t>
      </w:r>
    </w:p>
    <w:p w14:paraId="0694F9A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20ED78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黑体" w:eastAsia="黑体"/>
          <w:sz w:val="32"/>
          <w:szCs w:val="32"/>
        </w:rPr>
      </w:pPr>
      <w:r>
        <w:rPr>
          <w:rFonts w:ascii="黑体" w:eastAsia="黑体"/>
          <w:b w:val="0"/>
          <w:sz w:val="32"/>
          <w:szCs w:val="32"/>
        </w:rPr>
        <w:t>十一、预算绩效的情况说明</w:t>
      </w:r>
    </w:p>
    <w:p w14:paraId="2DF52BB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根据预算绩效管理要求，本单位2025年度预算绩效评价项目1个，全年预算数20.00万元，全年执行数20.00万元。预算绩效管理取得的成效：一是有效提升商务厅政务信息化水平和办公效率，适配“互联网+政务服务”相关要求；二是解决机构改革后新单位履职硬件短板，保障中心平稳履职。发现的问题及原因：平台日常运维多聚焦于基础保障，针对不同系统的个性化运维优化、故障应急响应效率仍需进一步提高。下一步改进措施：一是细化平台运维方案，增加个性化运维优化内容，针对不同系统制定专项运维标准；二是加强运维团队专业能力培养，优化故障应急响应机制，缩短响应时间，提升运维精细化水平和应急处置能力。具体附项目支出绩效自评表。</w:t>
      </w:r>
    </w:p>
    <w:p w14:paraId="2CB4A37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黑体" w:eastAsia="黑体"/>
          <w:sz w:val="32"/>
          <w:szCs w:val="32"/>
        </w:rPr>
      </w:pPr>
      <w:r>
        <w:rPr>
          <w:rFonts w:ascii="黑体" w:eastAsia="黑体"/>
          <w:b w:val="0"/>
          <w:sz w:val="32"/>
          <w:szCs w:val="32"/>
        </w:rPr>
        <w:t>十二、其他需说明的事项</w:t>
      </w:r>
    </w:p>
    <w:p w14:paraId="3A47AED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本单位无其他需说明的事项。</w:t>
      </w:r>
    </w:p>
    <w:p w14:paraId="1B0459B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p>
    <w:p w14:paraId="1D1D725E">
      <w:pPr>
        <w:keepNext w:val="0"/>
        <w:keepLines w:val="0"/>
        <w:pageBreakBefore w:val="0"/>
        <w:widowControl/>
        <w:kinsoku/>
        <w:wordWrap/>
        <w:overflowPunct/>
        <w:topLinePunct w:val="0"/>
        <w:autoSpaceDE/>
        <w:autoSpaceDN/>
        <w:bidi w:val="0"/>
        <w:adjustRightInd/>
        <w:snapToGrid/>
        <w:spacing w:line="560" w:lineRule="exact"/>
        <w:ind w:firstLine="0" w:firstLineChars="200"/>
        <w:jc w:val="both"/>
        <w:textAlignment w:val="auto"/>
        <w:outlineLvl w:val="9"/>
      </w:pPr>
      <w:r>
        <w:rPr>
          <w:b w:val="0"/>
          <w:sz w:val="0"/>
          <w:szCs w:val="0"/>
        </w:rPr>
        <w:br w:type="page"/>
      </w:r>
    </w:p>
    <w:p w14:paraId="4A07F37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9"/>
        <w:rPr>
          <w:rFonts w:ascii="黑体" w:eastAsia="黑体"/>
          <w:sz w:val="32"/>
          <w:szCs w:val="32"/>
        </w:rPr>
      </w:pPr>
      <w:r>
        <w:rPr>
          <w:rFonts w:ascii="黑体" w:eastAsia="黑体"/>
          <w:b w:val="0"/>
          <w:sz w:val="32"/>
          <w:szCs w:val="32"/>
        </w:rPr>
        <w:t>第三部分 专业名词解释</w:t>
      </w:r>
    </w:p>
    <w:p w14:paraId="0024649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outlineLvl w:val="9"/>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448736E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outlineLvl w:val="9"/>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3B91892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outlineLvl w:val="9"/>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72B196C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outlineLvl w:val="9"/>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4C69594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outlineLvl w:val="9"/>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0FE453F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outlineLvl w:val="9"/>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4BED5EC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outlineLvl w:val="9"/>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414BA2B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outlineLvl w:val="9"/>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28AF9CD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outlineLvl w:val="9"/>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5903A3F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outlineLvl w:val="9"/>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66660E5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outlineLvl w:val="9"/>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2F7E6BA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outlineLvl w:val="9"/>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6896DAA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outlineLvl w:val="9"/>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265CBC8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outlineLvl w:val="9"/>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6820AC7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outlineLvl w:val="9"/>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4D5F7F8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outlineLvl w:val="9"/>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88EBDB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outlineLvl w:val="9"/>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3E2B6C67">
      <w:pPr>
        <w:keepNext w:val="0"/>
        <w:keepLines w:val="0"/>
        <w:pageBreakBefore w:val="0"/>
        <w:widowControl/>
        <w:kinsoku/>
        <w:wordWrap/>
        <w:overflowPunct/>
        <w:topLinePunct w:val="0"/>
        <w:autoSpaceDE/>
        <w:autoSpaceDN/>
        <w:bidi w:val="0"/>
        <w:adjustRightInd/>
        <w:snapToGrid/>
        <w:spacing w:line="560" w:lineRule="exact"/>
        <w:ind w:firstLine="0" w:firstLineChars="200"/>
        <w:jc w:val="both"/>
        <w:textAlignment w:val="auto"/>
        <w:outlineLvl w:val="9"/>
      </w:pPr>
      <w:r>
        <w:rPr>
          <w:b w:val="0"/>
          <w:sz w:val="0"/>
          <w:szCs w:val="0"/>
        </w:rPr>
        <w:br w:type="page"/>
      </w:r>
    </w:p>
    <w:p w14:paraId="15AA318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9"/>
        <w:rPr>
          <w:rFonts w:ascii="黑体" w:eastAsia="黑体"/>
          <w:sz w:val="32"/>
          <w:szCs w:val="32"/>
        </w:rPr>
      </w:pPr>
      <w:bookmarkStart w:id="0" w:name="_GoBack"/>
      <w:bookmarkEnd w:id="0"/>
      <w:r>
        <w:rPr>
          <w:rFonts w:ascii="黑体" w:eastAsia="黑体"/>
          <w:b w:val="0"/>
          <w:sz w:val="32"/>
          <w:szCs w:val="32"/>
        </w:rPr>
        <w:t>第四部分 部门决算报表（见附表）</w:t>
      </w:r>
    </w:p>
    <w:p w14:paraId="1536E27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一、《收入支出决算总表》</w:t>
      </w:r>
    </w:p>
    <w:p w14:paraId="083BEC1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二、《收入决算表》</w:t>
      </w:r>
    </w:p>
    <w:p w14:paraId="4E90E2A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三、《支出决算表》</w:t>
      </w:r>
    </w:p>
    <w:p w14:paraId="420141C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四、《财政拨款收入支出决算总表》</w:t>
      </w:r>
    </w:p>
    <w:p w14:paraId="4B9B3A2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五、《一般公共预算财政拨款支出决算表》</w:t>
      </w:r>
    </w:p>
    <w:p w14:paraId="6F18AE2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六、《一般公共预算财政拨款基本支出决算表》</w:t>
      </w:r>
    </w:p>
    <w:p w14:paraId="043E567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七、《政府性基金预算财政拨款收入支出决算表》</w:t>
      </w:r>
    </w:p>
    <w:p w14:paraId="603135A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八、《国有资本经营预算财政拨款收入支出决算表》</w:t>
      </w:r>
    </w:p>
    <w:p w14:paraId="340931F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9"/>
        <w:rPr>
          <w:rFonts w:ascii="仿宋_GB2312" w:eastAsia="仿宋_GB2312"/>
          <w:sz w:val="32"/>
          <w:szCs w:val="32"/>
        </w:rPr>
      </w:pPr>
      <w:r>
        <w:rPr>
          <w:rFonts w:ascii="仿宋_GB2312" w:eastAsia="仿宋_GB2312"/>
          <w:b w:val="0"/>
          <w:sz w:val="32"/>
          <w:szCs w:val="32"/>
        </w:rPr>
        <w:t>九、《财政拨款“三公”经费支出决算表》</w:t>
      </w:r>
    </w:p>
    <w:sectPr>
      <w:footerReference r:id="rId5" w:type="default"/>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53962">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1C876D1">
                          <w:pPr>
                            <w:pStyle w:val="8"/>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CziH4F5wEAAMcD&#10;AAAOAAAAAAAAAAEAIAAAAB4BAABkcnMvZTJvRG9jLnhtbFBLBQYAAAAABgAGAFkBAAB3BQAAAAA=&#10;">
              <v:fill on="f" focussize="0,0"/>
              <v:stroke on="f"/>
              <v:imagedata o:title=""/>
              <o:lock v:ext="edit" aspectratio="f"/>
              <v:textbox inset="0mm,0mm,0mm,0mm" style="mso-fit-shape-to-text:t;">
                <w:txbxContent>
                  <w:p w14:paraId="71C876D1">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hdrShapeDefaults>
    <o:shapelayout v:ext="edit">
      <o:idmap v:ext="edit" data="2"/>
    </o:shapelayout>
  </w:hdrShapeDefault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4849C5"/>
    <w:rsid w:val="61533EBB"/>
    <w:rsid w:val="6FEC5DB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semiHidden/>
    <w:unhideWhenUsed/>
    <w:uiPriority w:val="99"/>
    <w:pPr>
      <w:tabs>
        <w:tab w:val="center" w:pos="4153"/>
        <w:tab w:val="right" w:pos="8306"/>
      </w:tabs>
      <w:snapToGrid w:val="0"/>
      <w:jc w:val="left"/>
    </w:pPr>
    <w:rPr>
      <w:sz w:val="18"/>
    </w:rPr>
  </w:style>
  <w:style w:type="paragraph" w:styleId="9">
    <w:name w:val="header"/>
    <w:basedOn w:val="1"/>
    <w:link w:val="17"/>
    <w:unhideWhenUsed/>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uiPriority w:val="99"/>
    <w:rPr>
      <w:color w:val="0000FF" w:themeColor="hyperlink"/>
      <w:u w:val="single"/>
    </w:rPr>
  </w:style>
  <w:style w:type="character" w:customStyle="1" w:styleId="17">
    <w:name w:val="Header Char"/>
    <w:basedOn w:val="14"/>
    <w:link w:val="9"/>
    <w:qFormat/>
    <w:uiPriority w:val="99"/>
  </w:style>
  <w:style w:type="character" w:customStyle="1" w:styleId="18">
    <w:name w:val="Heading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Heading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Heading 3 Char"/>
    <w:basedOn w:val="14"/>
    <w:link w:val="4"/>
    <w:qFormat/>
    <w:uiPriority w:val="9"/>
    <w:rPr>
      <w:rFonts w:asciiTheme="majorHAnsi" w:hAnsiTheme="majorHAnsi" w:eastAsiaTheme="majorEastAsia" w:cstheme="majorBidi"/>
      <w:b/>
      <w:bCs/>
      <w:color w:val="4F81BD" w:themeColor="accent1"/>
    </w:rPr>
  </w:style>
  <w:style w:type="character" w:customStyle="1" w:styleId="21">
    <w:name w:val="Heading 4 Char"/>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Subtitle Char"/>
    <w:basedOn w:val="14"/>
    <w:link w:val="10"/>
    <w:uiPriority w:val="11"/>
    <w:rPr>
      <w:rFonts w:asciiTheme="majorHAnsi" w:hAnsiTheme="majorHAnsi" w:eastAsiaTheme="majorEastAsia" w:cstheme="majorBidi"/>
      <w:i/>
      <w:iCs/>
      <w:color w:val="4F81BD" w:themeColor="accent1"/>
      <w:spacing w:val="15"/>
      <w:sz w:val="24"/>
      <w:szCs w:val="24"/>
    </w:rPr>
  </w:style>
  <w:style w:type="character" w:customStyle="1" w:styleId="23">
    <w:name w:val="Title Char"/>
    <w:basedOn w:val="14"/>
    <w:link w:val="11"/>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16</Pages>
  <Words>5862</Words>
  <Characters>6509</Characters>
  <TotalTime>27</TotalTime>
  <ScaleCrop>false</ScaleCrop>
  <LinksUpToDate>false</LinksUpToDate>
  <CharactersWithSpaces>6516</CharactersWithSpaces>
  <Application>WPS Office_12.1.0.28022_F1E327BC-269C-435d-A152-05C5408002CA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2026-08-20T11:07:03Z</dcterms:created>
  <dc:creator>User</dc:creator>
  <cp:lastModifiedBy>★</cp:lastModifiedBy>
  <dcterms:modified xsi:type="dcterms:W3CDTF">2026-08-20T11:35:30Z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eyJoZGlkIjoiMWEwMzJhNzU1ZDBkN2Y0OWYxMGMxOGY0MmNhNDk1MjUiLCJ1c2VySWQiOiI2NDk5MDUzNTgifQ==</vt:lpwstr>
  </property>
  <property fmtid="{D5CDD505-2E9C-101B-9397-08002B2CF9AE}" pid="3" name="KSOProductBuildVer">
    <vt:lpwstr>2052-12.1.0.28022</vt:lpwstr>
  </property>
  <property fmtid="{D5CDD505-2E9C-101B-9397-08002B2CF9AE}" pid="4" name="ICV">
    <vt:lpwstr>FB4D7B1E05AB41FF9E742A6FA13CEB4F_13</vt:lpwstr>
  </property>
</Properties>
</file>